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8AF7F" w14:textId="77777777" w:rsidR="00677AB5" w:rsidRPr="005B11FD" w:rsidRDefault="00922C96" w:rsidP="00922C96">
      <w:pPr>
        <w:tabs>
          <w:tab w:val="left" w:pos="7200"/>
          <w:tab w:val="right" w:pos="10071"/>
        </w:tabs>
        <w:spacing w:line="240" w:lineRule="exact"/>
        <w:ind w:right="-58"/>
        <w:rPr>
          <w:rFonts w:ascii="Arial" w:hAnsi="Arial" w:cs="Arial"/>
          <w:sz w:val="22"/>
          <w:szCs w:val="22"/>
        </w:rPr>
      </w:pPr>
      <w:r w:rsidRPr="005B11FD">
        <w:rPr>
          <w:rFonts w:ascii="Arial" w:hAnsi="Arial" w:cs="Arial"/>
          <w:noProof/>
          <w:sz w:val="22"/>
          <w:szCs w:val="22"/>
        </w:rPr>
        <w:drawing>
          <wp:anchor distT="0" distB="0" distL="114300" distR="114300" simplePos="0" relativeHeight="251657728" behindDoc="0" locked="0" layoutInCell="1" allowOverlap="1" wp14:anchorId="1ECBABB6" wp14:editId="22CAAFF9">
            <wp:simplePos x="0" y="0"/>
            <wp:positionH relativeFrom="column">
              <wp:posOffset>-279400</wp:posOffset>
            </wp:positionH>
            <wp:positionV relativeFrom="paragraph">
              <wp:posOffset>-29845</wp:posOffset>
            </wp:positionV>
            <wp:extent cx="3551555" cy="635000"/>
            <wp:effectExtent l="0" t="0" r="0" b="0"/>
            <wp:wrapNone/>
            <wp:docPr id="35" name="Picture 35" descr="PTA_badg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TA_badge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51555" cy="635000"/>
                    </a:xfrm>
                    <a:prstGeom prst="rect">
                      <a:avLst/>
                    </a:prstGeom>
                    <a:noFill/>
                  </pic:spPr>
                </pic:pic>
              </a:graphicData>
            </a:graphic>
            <wp14:sizeRelH relativeFrom="page">
              <wp14:pctWidth>0</wp14:pctWidth>
            </wp14:sizeRelH>
            <wp14:sizeRelV relativeFrom="page">
              <wp14:pctHeight>0</wp14:pctHeight>
            </wp14:sizeRelV>
          </wp:anchor>
        </w:drawing>
      </w:r>
    </w:p>
    <w:p w14:paraId="5D51848F" w14:textId="55C61DAF" w:rsidR="00677AB5" w:rsidRPr="005B11FD" w:rsidRDefault="007064C8" w:rsidP="00922C96">
      <w:pPr>
        <w:tabs>
          <w:tab w:val="left" w:pos="7200"/>
          <w:tab w:val="right" w:pos="10071"/>
        </w:tabs>
        <w:spacing w:before="600"/>
        <w:ind w:left="907" w:right="-57" w:firstLine="187"/>
        <w:jc w:val="right"/>
        <w:rPr>
          <w:rFonts w:ascii="Trebuchet MS" w:hAnsi="Trebuchet MS"/>
          <w:i/>
          <w:noProof/>
          <w:sz w:val="56"/>
          <w:szCs w:val="56"/>
        </w:rPr>
      </w:pPr>
      <w:bookmarkStart w:id="0" w:name="addendum_title"/>
      <w:r w:rsidRPr="005B11FD">
        <w:rPr>
          <w:rFonts w:ascii="Trebuchet MS" w:hAnsi="Trebuchet MS"/>
          <w:i/>
          <w:spacing w:val="-40"/>
          <w:sz w:val="56"/>
          <w:szCs w:val="56"/>
        </w:rPr>
        <w:t>Addendum No</w:t>
      </w:r>
      <w:r w:rsidR="004D4493">
        <w:rPr>
          <w:rFonts w:ascii="Trebuchet MS" w:hAnsi="Trebuchet MS"/>
          <w:i/>
          <w:spacing w:val="-40"/>
          <w:sz w:val="56"/>
          <w:szCs w:val="56"/>
        </w:rPr>
        <w:t xml:space="preserve"> </w:t>
      </w:r>
      <w:r w:rsidR="007F562E">
        <w:rPr>
          <w:rFonts w:ascii="Trebuchet MS" w:hAnsi="Trebuchet MS"/>
          <w:i/>
          <w:spacing w:val="-40"/>
          <w:sz w:val="56"/>
          <w:szCs w:val="56"/>
        </w:rPr>
        <w:t>4</w:t>
      </w:r>
      <w:r w:rsidRPr="005B11FD">
        <w:rPr>
          <w:rFonts w:ascii="Trebuchet MS" w:hAnsi="Trebuchet MS"/>
          <w:i/>
          <w:spacing w:val="-40"/>
          <w:sz w:val="56"/>
          <w:szCs w:val="56"/>
        </w:rPr>
        <w:t xml:space="preserve"> </w:t>
      </w:r>
      <w:bookmarkEnd w:id="0"/>
    </w:p>
    <w:p w14:paraId="1B575198" w14:textId="1F070F5C" w:rsidR="00677AB5" w:rsidRPr="005B11FD" w:rsidRDefault="002F26CE" w:rsidP="00922C96">
      <w:pPr>
        <w:pBdr>
          <w:bottom w:val="single" w:sz="6" w:space="1" w:color="auto"/>
        </w:pBdr>
        <w:spacing w:before="240" w:line="420" w:lineRule="exact"/>
        <w:jc w:val="right"/>
        <w:rPr>
          <w:rFonts w:ascii="Arial" w:hAnsi="Arial"/>
          <w:sz w:val="20"/>
        </w:rPr>
      </w:pPr>
      <w:r w:rsidRPr="004D4493">
        <w:rPr>
          <w:rFonts w:ascii="Arial" w:hAnsi="Arial"/>
          <w:sz w:val="20"/>
        </w:rPr>
        <w:t>Enquiries:</w:t>
      </w:r>
      <w:r w:rsidR="004D4493" w:rsidRPr="004D4493">
        <w:rPr>
          <w:rFonts w:ascii="Arial" w:hAnsi="Arial"/>
          <w:sz w:val="20"/>
        </w:rPr>
        <w:t xml:space="preserve"> Lisa Tierney 9326 2969</w:t>
      </w:r>
    </w:p>
    <w:p w14:paraId="7FE2006B" w14:textId="77777777" w:rsidR="00677AB5" w:rsidRPr="005B11FD" w:rsidRDefault="00677AB5" w:rsidP="00922C96">
      <w:pPr>
        <w:spacing w:line="220" w:lineRule="exact"/>
        <w:ind w:right="-4"/>
        <w:rPr>
          <w:rFonts w:ascii="Arial" w:hAnsi="Arial"/>
          <w:sz w:val="18"/>
        </w:rPr>
      </w:pPr>
    </w:p>
    <w:p w14:paraId="1C36FEA9" w14:textId="77777777" w:rsidR="00677AB5" w:rsidRPr="005B11FD" w:rsidRDefault="00677AB5" w:rsidP="00922C96">
      <w:pPr>
        <w:spacing w:line="220" w:lineRule="exact"/>
        <w:ind w:right="-4"/>
        <w:jc w:val="both"/>
        <w:sectPr w:rsidR="00677AB5" w:rsidRPr="005B11FD" w:rsidSect="002F26CE">
          <w:footerReference w:type="default" r:id="rId9"/>
          <w:pgSz w:w="11904" w:h="16843"/>
          <w:pgMar w:top="851" w:right="1531" w:bottom="1627" w:left="1588" w:header="720" w:footer="607" w:gutter="0"/>
          <w:cols w:space="720"/>
        </w:sectPr>
      </w:pPr>
    </w:p>
    <w:p w14:paraId="04D4618E" w14:textId="2DC1823C" w:rsidR="002843E2" w:rsidRPr="005B11FD" w:rsidRDefault="002843E2" w:rsidP="00922C96">
      <w:pPr>
        <w:pStyle w:val="BodyText"/>
        <w:spacing w:before="240"/>
        <w:jc w:val="center"/>
        <w:rPr>
          <w:rFonts w:ascii="Arial" w:hAnsi="Arial" w:cs="Arial"/>
          <w:sz w:val="28"/>
          <w:szCs w:val="28"/>
        </w:rPr>
      </w:pPr>
      <w:r w:rsidRPr="001623FF">
        <w:rPr>
          <w:rFonts w:ascii="Arial" w:hAnsi="Arial" w:cs="Arial"/>
          <w:sz w:val="28"/>
          <w:szCs w:val="28"/>
        </w:rPr>
        <w:t xml:space="preserve">Request for Tender No. </w:t>
      </w:r>
      <w:bookmarkStart w:id="1" w:name="tender_number"/>
      <w:r w:rsidR="009C502B" w:rsidRPr="001623FF">
        <w:rPr>
          <w:rFonts w:ascii="Arial" w:hAnsi="Arial" w:cs="Arial"/>
          <w:sz w:val="28"/>
          <w:szCs w:val="28"/>
        </w:rPr>
        <w:t>PT</w:t>
      </w:r>
      <w:r w:rsidR="00B46D82" w:rsidRPr="001623FF">
        <w:rPr>
          <w:rFonts w:ascii="Arial" w:hAnsi="Arial" w:cs="Arial"/>
          <w:sz w:val="28"/>
          <w:szCs w:val="28"/>
        </w:rPr>
        <w:t>A</w:t>
      </w:r>
      <w:bookmarkEnd w:id="1"/>
      <w:r w:rsidR="004D4493">
        <w:rPr>
          <w:rFonts w:ascii="Arial" w:hAnsi="Arial" w:cs="Arial"/>
          <w:sz w:val="28"/>
          <w:szCs w:val="28"/>
        </w:rPr>
        <w:t>2</w:t>
      </w:r>
      <w:r w:rsidR="00493535">
        <w:rPr>
          <w:rFonts w:ascii="Arial" w:hAnsi="Arial" w:cs="Arial"/>
          <w:sz w:val="28"/>
          <w:szCs w:val="28"/>
        </w:rPr>
        <w:t>50025</w:t>
      </w:r>
    </w:p>
    <w:p w14:paraId="62AF34FD" w14:textId="77777777" w:rsidR="002843E2" w:rsidRPr="005B11FD" w:rsidRDefault="002843E2" w:rsidP="00922C96">
      <w:pPr>
        <w:pStyle w:val="BodyText"/>
        <w:jc w:val="center"/>
        <w:rPr>
          <w:rFonts w:ascii="Arial" w:hAnsi="Arial" w:cs="Arial"/>
          <w:sz w:val="28"/>
          <w:szCs w:val="28"/>
        </w:rPr>
      </w:pPr>
      <w:r w:rsidRPr="005B11FD">
        <w:rPr>
          <w:rFonts w:ascii="Arial" w:hAnsi="Arial" w:cs="Arial"/>
          <w:sz w:val="28"/>
          <w:szCs w:val="28"/>
        </w:rPr>
        <w:t>for</w:t>
      </w:r>
    </w:p>
    <w:p w14:paraId="7690B4C9" w14:textId="1B7A47FA" w:rsidR="00F52787" w:rsidRPr="005B11FD" w:rsidRDefault="00493535" w:rsidP="00922C96">
      <w:pPr>
        <w:spacing w:before="60"/>
        <w:jc w:val="center"/>
        <w:rPr>
          <w:rFonts w:ascii="Arial" w:hAnsi="Arial" w:cs="Arial"/>
          <w:b/>
          <w:sz w:val="28"/>
          <w:szCs w:val="28"/>
        </w:rPr>
      </w:pPr>
      <w:r w:rsidRPr="00493535">
        <w:rPr>
          <w:rFonts w:ascii="Arial" w:hAnsi="Arial" w:cs="Arial"/>
          <w:b/>
          <w:sz w:val="28"/>
          <w:szCs w:val="28"/>
        </w:rPr>
        <w:t>Design and Construction of Transperth New Electric Passenger Vessels</w:t>
      </w:r>
    </w:p>
    <w:p w14:paraId="28746BEC" w14:textId="7BD31DAC" w:rsidR="002843E2" w:rsidRPr="005B11FD" w:rsidRDefault="003349F0" w:rsidP="00922C96">
      <w:pPr>
        <w:pStyle w:val="BodyText"/>
        <w:spacing w:before="240"/>
        <w:jc w:val="center"/>
        <w:rPr>
          <w:rFonts w:ascii="Arial" w:hAnsi="Arial" w:cs="Arial"/>
        </w:rPr>
      </w:pPr>
      <w:r>
        <w:rPr>
          <w:rFonts w:ascii="Arial" w:hAnsi="Arial" w:cs="Arial"/>
        </w:rPr>
        <w:t>22</w:t>
      </w:r>
      <w:r w:rsidR="00493535">
        <w:rPr>
          <w:rFonts w:ascii="Arial" w:hAnsi="Arial" w:cs="Arial"/>
        </w:rPr>
        <w:t xml:space="preserve"> April 2025</w:t>
      </w:r>
    </w:p>
    <w:p w14:paraId="155CFB9A" w14:textId="77777777" w:rsidR="00581260" w:rsidRPr="005B11FD" w:rsidRDefault="00581260" w:rsidP="003E12C5">
      <w:pPr>
        <w:pStyle w:val="BodyText2"/>
        <w:spacing w:before="360"/>
        <w:rPr>
          <w:rFonts w:cs="Arial"/>
        </w:rPr>
      </w:pPr>
      <w:r w:rsidRPr="005B11FD">
        <w:rPr>
          <w:rFonts w:cs="Arial"/>
        </w:rPr>
        <w:t>Please ensure that you confirm receipt of this addendum by com</w:t>
      </w:r>
      <w:r w:rsidR="00344096" w:rsidRPr="005B11FD">
        <w:rPr>
          <w:rFonts w:cs="Arial"/>
        </w:rPr>
        <w:t xml:space="preserve">pleting the Schedule of Addenda </w:t>
      </w:r>
      <w:r w:rsidRPr="005B11FD">
        <w:rPr>
          <w:rFonts w:cs="Arial"/>
        </w:rPr>
        <w:t>in Book 2(a) of your tender response.</w:t>
      </w:r>
    </w:p>
    <w:p w14:paraId="793DE4A6" w14:textId="7B086EED" w:rsidR="00FC1E26" w:rsidRPr="005B11FD" w:rsidRDefault="00FC1E26" w:rsidP="00CC39A5">
      <w:pPr>
        <w:pStyle w:val="BodyText2"/>
        <w:spacing w:before="120"/>
        <w:rPr>
          <w:rFonts w:cs="Arial"/>
          <w:snapToGrid w:val="0"/>
        </w:rPr>
      </w:pPr>
      <w:r w:rsidRPr="005B11FD">
        <w:rPr>
          <w:rFonts w:cs="Arial"/>
          <w:snapToGrid w:val="0"/>
        </w:rPr>
        <w:t>Tenderers are to make note of the alterations, amendments, questions, answers or inclusions below:</w:t>
      </w:r>
    </w:p>
    <w:tbl>
      <w:tblPr>
        <w:tblStyle w:val="TableGrid"/>
        <w:tblW w:w="997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
        <w:gridCol w:w="10"/>
        <w:gridCol w:w="9601"/>
        <w:gridCol w:w="339"/>
      </w:tblGrid>
      <w:tr w:rsidR="005B11FD" w:rsidRPr="005B11FD" w14:paraId="1AFF3826" w14:textId="77777777" w:rsidTr="00CC39A5">
        <w:trPr>
          <w:gridBefore w:val="2"/>
          <w:gridAfter w:val="1"/>
          <w:wBefore w:w="34" w:type="dxa"/>
          <w:wAfter w:w="334" w:type="dxa"/>
        </w:trPr>
        <w:tc>
          <w:tcPr>
            <w:tcW w:w="9606" w:type="dxa"/>
            <w:tcBorders>
              <w:top w:val="single" w:sz="4" w:space="0" w:color="auto"/>
            </w:tcBorders>
          </w:tcPr>
          <w:p w14:paraId="171A04E0" w14:textId="77777777" w:rsidR="00FC1E26" w:rsidRPr="005B11FD" w:rsidRDefault="00FC1E26" w:rsidP="008E45BD">
            <w:pPr>
              <w:tabs>
                <w:tab w:val="left" w:pos="567"/>
              </w:tabs>
              <w:ind w:left="284"/>
              <w:jc w:val="center"/>
              <w:rPr>
                <w:rFonts w:ascii="Arial" w:hAnsi="Arial" w:cs="Arial"/>
                <w:b/>
                <w:sz w:val="22"/>
                <w:szCs w:val="22"/>
              </w:rPr>
            </w:pPr>
            <w:r w:rsidRPr="005B11FD">
              <w:rPr>
                <w:rFonts w:ascii="Arial" w:hAnsi="Arial" w:cs="Arial"/>
                <w:b/>
                <w:sz w:val="22"/>
                <w:szCs w:val="22"/>
              </w:rPr>
              <w:t>Changes to Request for Tender documentation:</w:t>
            </w:r>
          </w:p>
          <w:p w14:paraId="27C27FB5" w14:textId="77777777" w:rsidR="0078468D" w:rsidRDefault="0078468D" w:rsidP="0042194A">
            <w:pPr>
              <w:tabs>
                <w:tab w:val="left" w:pos="567"/>
              </w:tabs>
              <w:spacing w:before="240"/>
              <w:ind w:left="284"/>
              <w:rPr>
                <w:rFonts w:ascii="Arial" w:hAnsi="Arial" w:cs="Arial"/>
                <w:sz w:val="22"/>
                <w:szCs w:val="22"/>
              </w:rPr>
            </w:pPr>
            <w:r>
              <w:rPr>
                <w:rFonts w:ascii="Arial" w:hAnsi="Arial" w:cs="Arial"/>
                <w:sz w:val="22"/>
                <w:szCs w:val="22"/>
              </w:rPr>
              <w:t>Book 2b updated:</w:t>
            </w:r>
          </w:p>
          <w:p w14:paraId="2D7274FF" w14:textId="55A4A107" w:rsidR="005B11FD" w:rsidRPr="005B11FD" w:rsidRDefault="0042194A" w:rsidP="00CC39A5">
            <w:pPr>
              <w:tabs>
                <w:tab w:val="left" w:pos="567"/>
              </w:tabs>
              <w:spacing w:before="240" w:after="240"/>
              <w:ind w:left="284"/>
              <w:rPr>
                <w:rFonts w:ascii="Arial" w:hAnsi="Arial" w:cs="Arial"/>
                <w:sz w:val="22"/>
                <w:szCs w:val="22"/>
              </w:rPr>
            </w:pPr>
            <w:r w:rsidRPr="0042194A">
              <w:rPr>
                <w:rFonts w:ascii="Arial" w:hAnsi="Arial" w:cs="Arial"/>
                <w:sz w:val="22"/>
                <w:szCs w:val="22"/>
              </w:rPr>
              <w:t>PTA250023 Supply of Goods (Book2b) RFT Schedule of Prices</w:t>
            </w:r>
            <w:r>
              <w:rPr>
                <w:rFonts w:ascii="Arial" w:hAnsi="Arial" w:cs="Arial"/>
                <w:sz w:val="22"/>
                <w:szCs w:val="22"/>
              </w:rPr>
              <w:t xml:space="preserve"> has been removed and replace</w:t>
            </w:r>
            <w:r w:rsidR="00A10BFA">
              <w:rPr>
                <w:rFonts w:ascii="Arial" w:hAnsi="Arial" w:cs="Arial"/>
                <w:sz w:val="22"/>
                <w:szCs w:val="22"/>
              </w:rPr>
              <w:t>d</w:t>
            </w:r>
            <w:r>
              <w:rPr>
                <w:rFonts w:ascii="Arial" w:hAnsi="Arial" w:cs="Arial"/>
                <w:sz w:val="22"/>
                <w:szCs w:val="22"/>
              </w:rPr>
              <w:t xml:space="preserve"> with </w:t>
            </w:r>
            <w:r w:rsidRPr="0042194A">
              <w:rPr>
                <w:rFonts w:ascii="Arial" w:hAnsi="Arial" w:cs="Arial"/>
                <w:sz w:val="22"/>
                <w:szCs w:val="22"/>
              </w:rPr>
              <w:t>PTA250023 Supply of Goods (Book2b) RFT Schedule of Prices</w:t>
            </w:r>
            <w:r>
              <w:rPr>
                <w:rFonts w:ascii="Arial" w:hAnsi="Arial" w:cs="Arial"/>
                <w:sz w:val="22"/>
                <w:szCs w:val="22"/>
              </w:rPr>
              <w:t xml:space="preserve"> </w:t>
            </w:r>
            <w:r w:rsidRPr="0042194A">
              <w:rPr>
                <w:rFonts w:ascii="Arial" w:hAnsi="Arial" w:cs="Arial"/>
                <w:b/>
                <w:bCs/>
                <w:sz w:val="22"/>
                <w:szCs w:val="22"/>
              </w:rPr>
              <w:t>Version 2</w:t>
            </w:r>
          </w:p>
        </w:tc>
      </w:tr>
      <w:tr w:rsidR="00FC1E26" w:rsidRPr="005B11FD" w14:paraId="37694054" w14:textId="77777777" w:rsidTr="00CC39A5">
        <w:tblPrEx>
          <w:tblBorders>
            <w:top w:val="single" w:sz="4" w:space="0" w:color="auto"/>
          </w:tblBorders>
        </w:tblPrEx>
        <w:trPr>
          <w:gridBefore w:val="1"/>
          <w:wBefore w:w="24" w:type="dxa"/>
        </w:trPr>
        <w:tc>
          <w:tcPr>
            <w:tcW w:w="9950" w:type="dxa"/>
            <w:gridSpan w:val="3"/>
            <w:tcBorders>
              <w:top w:val="single" w:sz="4" w:space="0" w:color="auto"/>
            </w:tcBorders>
          </w:tcPr>
          <w:p w14:paraId="5851EBEB" w14:textId="77777777" w:rsidR="00FC1E26" w:rsidRPr="005B11FD" w:rsidRDefault="00FC1E26" w:rsidP="008E45BD">
            <w:pPr>
              <w:pStyle w:val="BodyText2"/>
              <w:spacing w:after="0"/>
              <w:ind w:left="284"/>
              <w:jc w:val="center"/>
              <w:rPr>
                <w:rFonts w:cs="Arial"/>
                <w:b/>
                <w:szCs w:val="22"/>
              </w:rPr>
            </w:pPr>
            <w:r w:rsidRPr="005B11FD">
              <w:rPr>
                <w:rFonts w:cs="Arial"/>
                <w:b/>
                <w:szCs w:val="22"/>
              </w:rPr>
              <w:t>Requests for Information:</w:t>
            </w:r>
          </w:p>
          <w:p w14:paraId="12473D64" w14:textId="24477E50" w:rsidR="00493535" w:rsidRDefault="00493535" w:rsidP="0078468D">
            <w:pPr>
              <w:pStyle w:val="BodyText2"/>
              <w:spacing w:before="240" w:after="0"/>
              <w:ind w:left="284"/>
              <w:rPr>
                <w:rFonts w:cs="Arial"/>
                <w:b/>
                <w:snapToGrid w:val="0"/>
                <w:szCs w:val="22"/>
              </w:rPr>
            </w:pPr>
            <w:r w:rsidRPr="005B11FD">
              <w:rPr>
                <w:rFonts w:cs="Arial"/>
                <w:b/>
                <w:snapToGrid w:val="0"/>
                <w:szCs w:val="22"/>
              </w:rPr>
              <w:t>RFI</w:t>
            </w:r>
            <w:r>
              <w:rPr>
                <w:rFonts w:cs="Arial"/>
                <w:b/>
                <w:snapToGrid w:val="0"/>
                <w:szCs w:val="22"/>
              </w:rPr>
              <w:t xml:space="preserve"> </w:t>
            </w:r>
            <w:r w:rsidR="007F562E">
              <w:rPr>
                <w:rFonts w:cs="Arial"/>
                <w:b/>
                <w:snapToGrid w:val="0"/>
                <w:szCs w:val="22"/>
              </w:rPr>
              <w:t>1</w:t>
            </w:r>
            <w:r w:rsidR="00AC0B4E">
              <w:rPr>
                <w:rFonts w:cs="Arial"/>
                <w:b/>
                <w:snapToGrid w:val="0"/>
                <w:szCs w:val="22"/>
              </w:rPr>
              <w:t>4</w:t>
            </w:r>
            <w:r w:rsidRPr="005B11FD">
              <w:rPr>
                <w:rFonts w:cs="Arial"/>
                <w:b/>
                <w:snapToGrid w:val="0"/>
                <w:szCs w:val="22"/>
              </w:rPr>
              <w:t>:</w:t>
            </w:r>
          </w:p>
          <w:p w14:paraId="46FA187E" w14:textId="13D9210C" w:rsidR="007F562E" w:rsidRDefault="007F562E" w:rsidP="007F562E">
            <w:pPr>
              <w:pStyle w:val="BodyText2"/>
              <w:ind w:left="284"/>
            </w:pPr>
            <w:r w:rsidRPr="007F562E">
              <w:t xml:space="preserve">Within the presentation, there was a page which had render image of the vessel and a table on the bottom RHS which indicated Hull and Superstructure as Aluminium construction. </w:t>
            </w:r>
            <w:r>
              <w:t>I</w:t>
            </w:r>
            <w:r w:rsidRPr="007F562E">
              <w:t>s this a requirement for the new vessels to be of Aluminium construction?</w:t>
            </w:r>
          </w:p>
          <w:p w14:paraId="64854CD3" w14:textId="4CD5F3E3" w:rsidR="00DF4AC8" w:rsidRPr="005B11FD" w:rsidRDefault="00DF4AC8" w:rsidP="0078468D">
            <w:pPr>
              <w:pStyle w:val="BodyText2"/>
              <w:spacing w:before="240" w:after="0"/>
              <w:ind w:left="284"/>
              <w:rPr>
                <w:rFonts w:cs="Arial"/>
                <w:b/>
                <w:snapToGrid w:val="0"/>
                <w:szCs w:val="22"/>
              </w:rPr>
            </w:pPr>
            <w:r w:rsidRPr="005B11FD">
              <w:rPr>
                <w:rFonts w:cs="Arial"/>
                <w:b/>
                <w:snapToGrid w:val="0"/>
                <w:szCs w:val="22"/>
              </w:rPr>
              <w:t>Response:</w:t>
            </w:r>
          </w:p>
          <w:p w14:paraId="130DF517" w14:textId="552C777A" w:rsidR="007F562E" w:rsidRDefault="007F562E" w:rsidP="007F562E">
            <w:pPr>
              <w:pStyle w:val="BodyText2"/>
              <w:ind w:left="284"/>
              <w:rPr>
                <w:rFonts w:cs="Arial"/>
              </w:rPr>
            </w:pPr>
            <w:r w:rsidRPr="007F562E">
              <w:rPr>
                <w:rFonts w:cs="Arial"/>
              </w:rPr>
              <w:t xml:space="preserve">The vessel design should be as per the Technical Specification. Any departure from this needs to be recorded </w:t>
            </w:r>
            <w:r>
              <w:rPr>
                <w:rFonts w:cs="Arial"/>
              </w:rPr>
              <w:t>i</w:t>
            </w:r>
            <w:r w:rsidRPr="007F562E">
              <w:rPr>
                <w:rFonts w:cs="Arial"/>
              </w:rPr>
              <w:t xml:space="preserve">n the departure log. </w:t>
            </w:r>
          </w:p>
          <w:p w14:paraId="17D6FC0F" w14:textId="356B95DA" w:rsidR="00493535" w:rsidRDefault="00493535" w:rsidP="0078468D">
            <w:pPr>
              <w:pStyle w:val="BodyText2"/>
              <w:spacing w:before="240" w:after="0"/>
              <w:ind w:left="284"/>
              <w:rPr>
                <w:rFonts w:cs="Arial"/>
                <w:b/>
                <w:snapToGrid w:val="0"/>
                <w:szCs w:val="22"/>
              </w:rPr>
            </w:pPr>
            <w:r w:rsidRPr="005B11FD">
              <w:rPr>
                <w:rFonts w:cs="Arial"/>
                <w:b/>
                <w:snapToGrid w:val="0"/>
                <w:szCs w:val="22"/>
              </w:rPr>
              <w:t>RFI</w:t>
            </w:r>
            <w:r w:rsidR="005F42D2">
              <w:rPr>
                <w:rFonts w:cs="Arial"/>
                <w:b/>
                <w:snapToGrid w:val="0"/>
                <w:szCs w:val="22"/>
              </w:rPr>
              <w:t xml:space="preserve"> </w:t>
            </w:r>
            <w:r w:rsidR="007F562E">
              <w:rPr>
                <w:rFonts w:cs="Arial"/>
                <w:b/>
                <w:snapToGrid w:val="0"/>
                <w:szCs w:val="22"/>
              </w:rPr>
              <w:t>1</w:t>
            </w:r>
            <w:r w:rsidR="00AC0B4E">
              <w:rPr>
                <w:rFonts w:cs="Arial"/>
                <w:b/>
                <w:snapToGrid w:val="0"/>
                <w:szCs w:val="22"/>
              </w:rPr>
              <w:t>5</w:t>
            </w:r>
            <w:r w:rsidRPr="005B11FD">
              <w:rPr>
                <w:rFonts w:cs="Arial"/>
                <w:b/>
                <w:snapToGrid w:val="0"/>
                <w:szCs w:val="22"/>
              </w:rPr>
              <w:t>:</w:t>
            </w:r>
          </w:p>
          <w:p w14:paraId="3882CE61" w14:textId="67E937C8" w:rsidR="005F42D2" w:rsidRDefault="007F562E" w:rsidP="007F562E">
            <w:pPr>
              <w:pStyle w:val="BodyText2"/>
              <w:ind w:left="284"/>
              <w:rPr>
                <w:rFonts w:eastAsia="Times" w:cs="Arial"/>
              </w:rPr>
            </w:pPr>
            <w:r w:rsidRPr="007F562E">
              <w:rPr>
                <w:rFonts w:cs="Arial"/>
              </w:rPr>
              <w:t>We would like to clarify whether partnering with a local company in Western Australia is a requirement to participate in the tender.</w:t>
            </w:r>
          </w:p>
          <w:p w14:paraId="47634884" w14:textId="77777777" w:rsidR="007F562E" w:rsidRDefault="00AC0B4E" w:rsidP="007F562E">
            <w:pPr>
              <w:pStyle w:val="BodyText2"/>
              <w:spacing w:before="240" w:after="0"/>
              <w:ind w:left="284"/>
              <w:rPr>
                <w:rFonts w:cs="Arial"/>
                <w:b/>
                <w:bCs/>
              </w:rPr>
            </w:pPr>
            <w:r w:rsidRPr="00493535">
              <w:rPr>
                <w:rFonts w:cs="Arial"/>
                <w:b/>
                <w:bCs/>
              </w:rPr>
              <w:t>Response:</w:t>
            </w:r>
          </w:p>
          <w:p w14:paraId="384A2142" w14:textId="348AA8C6" w:rsidR="00AC0B4E" w:rsidRPr="007F562E" w:rsidRDefault="007F562E" w:rsidP="007F562E">
            <w:pPr>
              <w:pStyle w:val="BodyText2"/>
              <w:ind w:left="284"/>
              <w:rPr>
                <w:rFonts w:cs="Arial"/>
              </w:rPr>
            </w:pPr>
            <w:r w:rsidRPr="007F562E">
              <w:rPr>
                <w:rFonts w:cs="Arial"/>
              </w:rPr>
              <w:t>No</w:t>
            </w:r>
            <w:r>
              <w:rPr>
                <w:rFonts w:cs="Arial"/>
              </w:rPr>
              <w:t>.</w:t>
            </w:r>
            <w:r w:rsidR="00AC0B4E" w:rsidRPr="007F562E">
              <w:rPr>
                <w:rFonts w:cs="Arial"/>
              </w:rPr>
              <w:t xml:space="preserve"> </w:t>
            </w:r>
          </w:p>
          <w:p w14:paraId="1A1121A1" w14:textId="3804A3A9" w:rsidR="00493535" w:rsidRDefault="00493535" w:rsidP="0078468D">
            <w:pPr>
              <w:pStyle w:val="BodyText2"/>
              <w:spacing w:before="240" w:after="0"/>
              <w:ind w:left="284"/>
              <w:rPr>
                <w:rFonts w:cs="Arial"/>
                <w:b/>
                <w:snapToGrid w:val="0"/>
                <w:szCs w:val="22"/>
              </w:rPr>
            </w:pPr>
            <w:r w:rsidRPr="005B11FD">
              <w:rPr>
                <w:rFonts w:cs="Arial"/>
                <w:b/>
                <w:snapToGrid w:val="0"/>
                <w:szCs w:val="22"/>
              </w:rPr>
              <w:t>RFI</w:t>
            </w:r>
            <w:r w:rsidR="005F42D2">
              <w:rPr>
                <w:rFonts w:cs="Arial"/>
                <w:b/>
                <w:snapToGrid w:val="0"/>
                <w:szCs w:val="22"/>
              </w:rPr>
              <w:t xml:space="preserve"> </w:t>
            </w:r>
            <w:r w:rsidR="007F562E">
              <w:rPr>
                <w:rFonts w:cs="Arial"/>
                <w:b/>
                <w:snapToGrid w:val="0"/>
                <w:szCs w:val="22"/>
              </w:rPr>
              <w:t>1</w:t>
            </w:r>
            <w:r w:rsidR="008772D7">
              <w:rPr>
                <w:rFonts w:cs="Arial"/>
                <w:b/>
                <w:snapToGrid w:val="0"/>
                <w:szCs w:val="22"/>
              </w:rPr>
              <w:t>6</w:t>
            </w:r>
            <w:r w:rsidRPr="005B11FD">
              <w:rPr>
                <w:rFonts w:cs="Arial"/>
                <w:b/>
                <w:snapToGrid w:val="0"/>
                <w:szCs w:val="22"/>
              </w:rPr>
              <w:t>:</w:t>
            </w:r>
          </w:p>
          <w:p w14:paraId="557BA864" w14:textId="4F05E1C4" w:rsidR="005F42D2" w:rsidRPr="005F42D2" w:rsidRDefault="007F562E" w:rsidP="005F42D2">
            <w:pPr>
              <w:pStyle w:val="BodyText2"/>
              <w:ind w:left="284"/>
              <w:rPr>
                <w:rFonts w:cs="Arial"/>
              </w:rPr>
            </w:pPr>
            <w:r w:rsidRPr="007F562E">
              <w:rPr>
                <w:rFonts w:cs="Arial"/>
              </w:rPr>
              <w:t>Vessel wake in Melville is approx. double the size of the design significant wave height and risks washing over the deck at 600mm freeboard.  Has the PTA considered the effect of wake from other vessels?</w:t>
            </w:r>
          </w:p>
          <w:p w14:paraId="182E296F" w14:textId="77777777" w:rsidR="00493535" w:rsidRPr="0078468D" w:rsidRDefault="00493535" w:rsidP="0078468D">
            <w:pPr>
              <w:pStyle w:val="BodyText2"/>
              <w:spacing w:before="240" w:after="0"/>
              <w:ind w:left="284"/>
              <w:rPr>
                <w:rFonts w:cs="Arial"/>
                <w:b/>
                <w:snapToGrid w:val="0"/>
                <w:szCs w:val="22"/>
              </w:rPr>
            </w:pPr>
            <w:r w:rsidRPr="0078468D">
              <w:rPr>
                <w:rFonts w:cs="Arial"/>
                <w:b/>
                <w:snapToGrid w:val="0"/>
                <w:szCs w:val="22"/>
              </w:rPr>
              <w:t>Response:</w:t>
            </w:r>
          </w:p>
          <w:p w14:paraId="77AC93DD" w14:textId="1386C6F0" w:rsidR="00493535" w:rsidRPr="008772D7" w:rsidRDefault="007F562E" w:rsidP="0078468D">
            <w:pPr>
              <w:pStyle w:val="BodyText2"/>
              <w:ind w:left="284"/>
              <w:rPr>
                <w:rFonts w:cs="Arial"/>
              </w:rPr>
            </w:pPr>
            <w:r>
              <w:rPr>
                <w:rFonts w:cs="Arial"/>
              </w:rPr>
              <w:t>Yes.</w:t>
            </w:r>
          </w:p>
          <w:p w14:paraId="32B189D6" w14:textId="3F54DAD8" w:rsidR="00493535" w:rsidRDefault="00493535" w:rsidP="0078468D">
            <w:pPr>
              <w:pStyle w:val="BodyText2"/>
              <w:spacing w:before="240" w:after="0"/>
              <w:ind w:left="284"/>
              <w:rPr>
                <w:rFonts w:cs="Arial"/>
                <w:b/>
                <w:snapToGrid w:val="0"/>
                <w:szCs w:val="22"/>
              </w:rPr>
            </w:pPr>
            <w:r w:rsidRPr="005B11FD">
              <w:rPr>
                <w:rFonts w:cs="Arial"/>
                <w:b/>
                <w:snapToGrid w:val="0"/>
                <w:szCs w:val="22"/>
              </w:rPr>
              <w:lastRenderedPageBreak/>
              <w:t>RFI</w:t>
            </w:r>
            <w:r w:rsidR="005F42D2">
              <w:rPr>
                <w:rFonts w:cs="Arial"/>
                <w:b/>
                <w:snapToGrid w:val="0"/>
                <w:szCs w:val="22"/>
              </w:rPr>
              <w:t xml:space="preserve"> </w:t>
            </w:r>
            <w:r w:rsidR="007F562E">
              <w:rPr>
                <w:rFonts w:cs="Arial"/>
                <w:b/>
                <w:snapToGrid w:val="0"/>
                <w:szCs w:val="22"/>
              </w:rPr>
              <w:t>1</w:t>
            </w:r>
            <w:r w:rsidR="008772D7">
              <w:rPr>
                <w:rFonts w:cs="Arial"/>
                <w:b/>
                <w:snapToGrid w:val="0"/>
                <w:szCs w:val="22"/>
              </w:rPr>
              <w:t>7</w:t>
            </w:r>
            <w:r w:rsidRPr="005B11FD">
              <w:rPr>
                <w:rFonts w:cs="Arial"/>
                <w:b/>
                <w:snapToGrid w:val="0"/>
                <w:szCs w:val="22"/>
              </w:rPr>
              <w:t>:</w:t>
            </w:r>
          </w:p>
          <w:p w14:paraId="223B281D" w14:textId="079563D2" w:rsidR="005F42D2" w:rsidRPr="005F42D2" w:rsidRDefault="007F562E" w:rsidP="005F42D2">
            <w:pPr>
              <w:pStyle w:val="BodyText2"/>
              <w:ind w:left="284"/>
              <w:rPr>
                <w:rFonts w:cs="Arial"/>
              </w:rPr>
            </w:pPr>
            <w:r w:rsidRPr="007F562E">
              <w:rPr>
                <w:rFonts w:cs="Arial"/>
              </w:rPr>
              <w:t>Tunnel wetness and slamming analysis at Hs = 0.45m would not include wake from other vessels and would likely show no problems.  Would a NTFV that upon launch experiences tunnel wetness, slamming and possibly water over decks from other vessel wakes be accepted by PTA?</w:t>
            </w:r>
          </w:p>
          <w:p w14:paraId="138614B2" w14:textId="77777777" w:rsidR="00493535" w:rsidRPr="0078468D" w:rsidRDefault="00493535" w:rsidP="0078468D">
            <w:pPr>
              <w:pStyle w:val="BodyText2"/>
              <w:spacing w:before="240" w:after="0"/>
              <w:ind w:left="284"/>
              <w:rPr>
                <w:rFonts w:cs="Arial"/>
                <w:b/>
                <w:snapToGrid w:val="0"/>
                <w:szCs w:val="22"/>
              </w:rPr>
            </w:pPr>
            <w:r w:rsidRPr="0078468D">
              <w:rPr>
                <w:rFonts w:cs="Arial"/>
                <w:b/>
                <w:snapToGrid w:val="0"/>
                <w:szCs w:val="22"/>
              </w:rPr>
              <w:t>Response:</w:t>
            </w:r>
          </w:p>
          <w:p w14:paraId="0F7E55AC" w14:textId="52E9D502" w:rsidR="00493535" w:rsidRPr="0078468D" w:rsidRDefault="007F562E" w:rsidP="0078468D">
            <w:pPr>
              <w:pStyle w:val="BodyText2"/>
              <w:ind w:left="284"/>
              <w:rPr>
                <w:rFonts w:cs="Arial"/>
              </w:rPr>
            </w:pPr>
            <w:r>
              <w:rPr>
                <w:rFonts w:cs="Arial"/>
              </w:rPr>
              <w:t>Tunnel slamming has been considered.</w:t>
            </w:r>
          </w:p>
          <w:p w14:paraId="6A1C5B42" w14:textId="0C7A33EA" w:rsidR="00493535" w:rsidRDefault="00493535" w:rsidP="0078468D">
            <w:pPr>
              <w:pStyle w:val="BodyText2"/>
              <w:spacing w:before="240" w:after="0"/>
              <w:ind w:left="284"/>
              <w:rPr>
                <w:rFonts w:cs="Arial"/>
                <w:b/>
                <w:snapToGrid w:val="0"/>
                <w:szCs w:val="22"/>
              </w:rPr>
            </w:pPr>
            <w:r w:rsidRPr="005B11FD">
              <w:rPr>
                <w:rFonts w:cs="Arial"/>
                <w:b/>
                <w:snapToGrid w:val="0"/>
                <w:szCs w:val="22"/>
              </w:rPr>
              <w:t>RFI</w:t>
            </w:r>
            <w:r w:rsidR="005F42D2">
              <w:rPr>
                <w:rFonts w:cs="Arial"/>
                <w:b/>
                <w:snapToGrid w:val="0"/>
                <w:szCs w:val="22"/>
              </w:rPr>
              <w:t xml:space="preserve"> </w:t>
            </w:r>
            <w:r w:rsidR="007F562E">
              <w:rPr>
                <w:rFonts w:cs="Arial"/>
                <w:b/>
                <w:snapToGrid w:val="0"/>
                <w:szCs w:val="22"/>
              </w:rPr>
              <w:t>1</w:t>
            </w:r>
            <w:r w:rsidR="008772D7">
              <w:rPr>
                <w:rFonts w:cs="Arial"/>
                <w:b/>
                <w:snapToGrid w:val="0"/>
                <w:szCs w:val="22"/>
              </w:rPr>
              <w:t>8</w:t>
            </w:r>
            <w:r w:rsidRPr="005B11FD">
              <w:rPr>
                <w:rFonts w:cs="Arial"/>
                <w:b/>
                <w:snapToGrid w:val="0"/>
                <w:szCs w:val="22"/>
              </w:rPr>
              <w:t>:</w:t>
            </w:r>
          </w:p>
          <w:p w14:paraId="66719C40" w14:textId="46E5BFBA" w:rsidR="005F42D2" w:rsidRPr="005F42D2" w:rsidRDefault="007F562E" w:rsidP="005F42D2">
            <w:pPr>
              <w:pStyle w:val="BodyText2"/>
              <w:ind w:left="284"/>
              <w:rPr>
                <w:rFonts w:cs="Arial"/>
                <w:bCs/>
                <w:snapToGrid w:val="0"/>
                <w:szCs w:val="22"/>
              </w:rPr>
            </w:pPr>
            <w:r w:rsidRPr="007F562E">
              <w:rPr>
                <w:rFonts w:cs="Arial"/>
                <w:bCs/>
                <w:snapToGrid w:val="0"/>
                <w:szCs w:val="22"/>
              </w:rPr>
              <w:t>We foresee that the NTFV will need to slow down during periods of high vessel traffic on Melville water, due to the insufficient deck freeboard.  Will the NTFV be accepted if it falls behind the desired schedule, during times of heavy vessel traffic on Melville Water?</w:t>
            </w:r>
          </w:p>
          <w:p w14:paraId="2F1AB202" w14:textId="2B428479" w:rsidR="00493535" w:rsidRPr="0078468D" w:rsidRDefault="00493535" w:rsidP="0078468D">
            <w:pPr>
              <w:pStyle w:val="BodyText2"/>
              <w:spacing w:before="240" w:after="0"/>
              <w:ind w:left="284"/>
              <w:rPr>
                <w:rFonts w:cs="Arial"/>
                <w:b/>
                <w:snapToGrid w:val="0"/>
                <w:szCs w:val="22"/>
              </w:rPr>
            </w:pPr>
            <w:r w:rsidRPr="0078468D">
              <w:rPr>
                <w:rFonts w:cs="Arial"/>
                <w:b/>
                <w:snapToGrid w:val="0"/>
                <w:szCs w:val="22"/>
              </w:rPr>
              <w:t>Response:</w:t>
            </w:r>
          </w:p>
          <w:p w14:paraId="5D1ED3B3" w14:textId="45FEABDD" w:rsidR="00493535" w:rsidRPr="0078468D" w:rsidRDefault="007F562E" w:rsidP="0078468D">
            <w:pPr>
              <w:pStyle w:val="BodyText2"/>
              <w:ind w:left="284"/>
              <w:rPr>
                <w:rFonts w:cs="Arial"/>
                <w:bCs/>
                <w:snapToGrid w:val="0"/>
                <w:szCs w:val="22"/>
              </w:rPr>
            </w:pPr>
            <w:r w:rsidRPr="007F562E">
              <w:rPr>
                <w:rFonts w:cs="Arial"/>
                <w:bCs/>
                <w:snapToGrid w:val="0"/>
                <w:szCs w:val="22"/>
              </w:rPr>
              <w:t>The vessels will be required to comply with all navigational safety requirements while operating in the Swan River.</w:t>
            </w:r>
          </w:p>
          <w:p w14:paraId="50BBDA26" w14:textId="5AE202A4" w:rsidR="00493535" w:rsidRDefault="00493535" w:rsidP="0078468D">
            <w:pPr>
              <w:pStyle w:val="BodyText2"/>
              <w:spacing w:before="240" w:after="0"/>
              <w:ind w:left="284"/>
              <w:rPr>
                <w:rFonts w:cs="Arial"/>
                <w:b/>
                <w:snapToGrid w:val="0"/>
                <w:szCs w:val="22"/>
              </w:rPr>
            </w:pPr>
            <w:r w:rsidRPr="005B11FD">
              <w:rPr>
                <w:rFonts w:cs="Arial"/>
                <w:b/>
                <w:snapToGrid w:val="0"/>
                <w:szCs w:val="22"/>
              </w:rPr>
              <w:t>RFI</w:t>
            </w:r>
            <w:r w:rsidR="005F42D2">
              <w:rPr>
                <w:rFonts w:cs="Arial"/>
                <w:b/>
                <w:snapToGrid w:val="0"/>
                <w:szCs w:val="22"/>
              </w:rPr>
              <w:t xml:space="preserve"> </w:t>
            </w:r>
            <w:r w:rsidR="007F562E">
              <w:rPr>
                <w:rFonts w:cs="Arial"/>
                <w:b/>
                <w:snapToGrid w:val="0"/>
                <w:szCs w:val="22"/>
              </w:rPr>
              <w:t>1</w:t>
            </w:r>
            <w:r w:rsidR="008772D7">
              <w:rPr>
                <w:rFonts w:cs="Arial"/>
                <w:b/>
                <w:snapToGrid w:val="0"/>
                <w:szCs w:val="22"/>
              </w:rPr>
              <w:t>9</w:t>
            </w:r>
            <w:r w:rsidRPr="005B11FD">
              <w:rPr>
                <w:rFonts w:cs="Arial"/>
                <w:b/>
                <w:snapToGrid w:val="0"/>
                <w:szCs w:val="22"/>
              </w:rPr>
              <w:t>:</w:t>
            </w:r>
          </w:p>
          <w:p w14:paraId="02CE8092" w14:textId="06BBF51E" w:rsidR="005F42D2" w:rsidRPr="005F42D2" w:rsidRDefault="007F562E" w:rsidP="005F42D2">
            <w:pPr>
              <w:pStyle w:val="BodyText2"/>
              <w:ind w:left="284"/>
              <w:rPr>
                <w:rFonts w:cs="Arial"/>
                <w:bCs/>
                <w:snapToGrid w:val="0"/>
                <w:szCs w:val="22"/>
              </w:rPr>
            </w:pPr>
            <w:r w:rsidRPr="007F562E">
              <w:rPr>
                <w:rFonts w:cs="Arial"/>
                <w:bCs/>
                <w:snapToGrid w:val="0"/>
                <w:szCs w:val="22"/>
              </w:rPr>
              <w:t>As the maximum design draft (before ballasting) is greater than the charted water depth near the Causeway, is it accepted by PTA that the NTFV may not be able to transit the Causeway at low tide and/or negative storm surge tidal residual?</w:t>
            </w:r>
          </w:p>
          <w:p w14:paraId="6AA0E9A5" w14:textId="77777777" w:rsidR="00493535" w:rsidRPr="0078468D" w:rsidRDefault="00493535" w:rsidP="0078468D">
            <w:pPr>
              <w:pStyle w:val="BodyText2"/>
              <w:spacing w:before="240" w:after="0"/>
              <w:ind w:left="284"/>
              <w:rPr>
                <w:rFonts w:cs="Arial"/>
                <w:b/>
                <w:snapToGrid w:val="0"/>
                <w:szCs w:val="22"/>
              </w:rPr>
            </w:pPr>
            <w:r w:rsidRPr="0078468D">
              <w:rPr>
                <w:rFonts w:cs="Arial"/>
                <w:b/>
                <w:snapToGrid w:val="0"/>
                <w:szCs w:val="22"/>
              </w:rPr>
              <w:t>Response:</w:t>
            </w:r>
          </w:p>
          <w:p w14:paraId="68BF8E27" w14:textId="6558B944" w:rsidR="00493535" w:rsidRDefault="007F562E" w:rsidP="0078468D">
            <w:pPr>
              <w:pStyle w:val="BodyText2"/>
              <w:ind w:left="284"/>
              <w:rPr>
                <w:rFonts w:cs="Arial"/>
                <w:b/>
                <w:bCs/>
              </w:rPr>
            </w:pPr>
            <w:r w:rsidRPr="007F562E">
              <w:rPr>
                <w:rFonts w:cs="Arial"/>
                <w:bCs/>
                <w:snapToGrid w:val="0"/>
                <w:szCs w:val="22"/>
              </w:rPr>
              <w:t>Not applicable for the route currently being considered.</w:t>
            </w:r>
          </w:p>
          <w:p w14:paraId="17BD50DA" w14:textId="7BAA2197" w:rsidR="00493535" w:rsidRDefault="00493535" w:rsidP="0078468D">
            <w:pPr>
              <w:pStyle w:val="BodyText2"/>
              <w:spacing w:before="240" w:after="0"/>
              <w:ind w:left="284"/>
              <w:rPr>
                <w:rFonts w:cs="Arial"/>
                <w:b/>
                <w:snapToGrid w:val="0"/>
                <w:szCs w:val="22"/>
              </w:rPr>
            </w:pPr>
            <w:r w:rsidRPr="005B11FD">
              <w:rPr>
                <w:rFonts w:cs="Arial"/>
                <w:b/>
                <w:snapToGrid w:val="0"/>
                <w:szCs w:val="22"/>
              </w:rPr>
              <w:t>RFI</w:t>
            </w:r>
            <w:r w:rsidR="005F42D2">
              <w:rPr>
                <w:rFonts w:cs="Arial"/>
                <w:b/>
                <w:snapToGrid w:val="0"/>
                <w:szCs w:val="22"/>
              </w:rPr>
              <w:t xml:space="preserve"> </w:t>
            </w:r>
            <w:r w:rsidR="007F562E">
              <w:rPr>
                <w:rFonts w:cs="Arial"/>
                <w:b/>
                <w:snapToGrid w:val="0"/>
                <w:szCs w:val="22"/>
              </w:rPr>
              <w:t>2</w:t>
            </w:r>
            <w:r w:rsidR="008772D7">
              <w:rPr>
                <w:rFonts w:cs="Arial"/>
                <w:b/>
                <w:snapToGrid w:val="0"/>
                <w:szCs w:val="22"/>
              </w:rPr>
              <w:t>0</w:t>
            </w:r>
            <w:r w:rsidRPr="005B11FD">
              <w:rPr>
                <w:rFonts w:cs="Arial"/>
                <w:b/>
                <w:snapToGrid w:val="0"/>
                <w:szCs w:val="22"/>
              </w:rPr>
              <w:t>:</w:t>
            </w:r>
          </w:p>
          <w:p w14:paraId="00129BB6" w14:textId="64653FF3" w:rsidR="005F42D2" w:rsidRDefault="007F562E" w:rsidP="005F42D2">
            <w:pPr>
              <w:pStyle w:val="BodyText2"/>
              <w:ind w:left="284"/>
              <w:rPr>
                <w:rFonts w:cs="Arial"/>
                <w:bCs/>
                <w:snapToGrid w:val="0"/>
                <w:szCs w:val="22"/>
              </w:rPr>
            </w:pPr>
            <w:r w:rsidRPr="007F562E">
              <w:rPr>
                <w:rFonts w:cs="Arial"/>
                <w:bCs/>
                <w:snapToGrid w:val="0"/>
                <w:szCs w:val="22"/>
              </w:rPr>
              <w:t>Has any recent hydrographic survey of the approaches to the Causeway been completed to confirm water depth?</w:t>
            </w:r>
          </w:p>
          <w:p w14:paraId="23F42B91" w14:textId="77777777" w:rsidR="00493535" w:rsidRPr="0078468D" w:rsidRDefault="00493535" w:rsidP="0078468D">
            <w:pPr>
              <w:pStyle w:val="BodyText2"/>
              <w:spacing w:before="240" w:after="0"/>
              <w:ind w:left="284"/>
              <w:rPr>
                <w:rFonts w:cs="Arial"/>
                <w:b/>
                <w:snapToGrid w:val="0"/>
                <w:szCs w:val="22"/>
              </w:rPr>
            </w:pPr>
            <w:r w:rsidRPr="0078468D">
              <w:rPr>
                <w:rFonts w:cs="Arial"/>
                <w:b/>
                <w:snapToGrid w:val="0"/>
                <w:szCs w:val="22"/>
              </w:rPr>
              <w:t>Response:</w:t>
            </w:r>
          </w:p>
          <w:p w14:paraId="2AF7EDD1" w14:textId="5EA80D2D" w:rsidR="00493535" w:rsidRPr="0078468D" w:rsidRDefault="007F562E" w:rsidP="0078468D">
            <w:pPr>
              <w:pStyle w:val="BodyText2"/>
              <w:ind w:left="284"/>
              <w:rPr>
                <w:rFonts w:cs="Arial"/>
                <w:bCs/>
                <w:snapToGrid w:val="0"/>
                <w:szCs w:val="22"/>
              </w:rPr>
            </w:pPr>
            <w:r w:rsidRPr="007F562E">
              <w:rPr>
                <w:rFonts w:cs="Arial"/>
                <w:bCs/>
                <w:snapToGrid w:val="0"/>
                <w:szCs w:val="22"/>
              </w:rPr>
              <w:t>Not applicable for the route currently being considered.</w:t>
            </w:r>
          </w:p>
          <w:p w14:paraId="046B42AC" w14:textId="72053C52" w:rsidR="00493535" w:rsidRDefault="00493535" w:rsidP="0078468D">
            <w:pPr>
              <w:pStyle w:val="BodyText2"/>
              <w:spacing w:before="240" w:after="0"/>
              <w:ind w:left="284"/>
              <w:rPr>
                <w:rFonts w:cs="Arial"/>
                <w:b/>
                <w:snapToGrid w:val="0"/>
                <w:szCs w:val="22"/>
              </w:rPr>
            </w:pPr>
            <w:r w:rsidRPr="005B11FD">
              <w:rPr>
                <w:rFonts w:cs="Arial"/>
                <w:b/>
                <w:snapToGrid w:val="0"/>
                <w:szCs w:val="22"/>
              </w:rPr>
              <w:t>RFI</w:t>
            </w:r>
            <w:r w:rsidR="005F42D2">
              <w:rPr>
                <w:rFonts w:cs="Arial"/>
                <w:b/>
                <w:snapToGrid w:val="0"/>
                <w:szCs w:val="22"/>
              </w:rPr>
              <w:t xml:space="preserve"> </w:t>
            </w:r>
            <w:r w:rsidR="007F562E">
              <w:rPr>
                <w:rFonts w:cs="Arial"/>
                <w:b/>
                <w:snapToGrid w:val="0"/>
                <w:szCs w:val="22"/>
              </w:rPr>
              <w:t>2</w:t>
            </w:r>
            <w:r w:rsidR="008772D7">
              <w:rPr>
                <w:rFonts w:cs="Arial"/>
                <w:b/>
                <w:snapToGrid w:val="0"/>
                <w:szCs w:val="22"/>
              </w:rPr>
              <w:t>1</w:t>
            </w:r>
            <w:r w:rsidRPr="005B11FD">
              <w:rPr>
                <w:rFonts w:cs="Arial"/>
                <w:b/>
                <w:snapToGrid w:val="0"/>
                <w:szCs w:val="22"/>
              </w:rPr>
              <w:t>:</w:t>
            </w:r>
          </w:p>
          <w:p w14:paraId="1C6199B3" w14:textId="338D1539" w:rsidR="005F42D2" w:rsidRPr="005F42D2" w:rsidRDefault="007F562E" w:rsidP="005F42D2">
            <w:pPr>
              <w:pStyle w:val="BodyText2"/>
              <w:ind w:left="284"/>
              <w:rPr>
                <w:rFonts w:cs="Arial"/>
                <w:bCs/>
                <w:snapToGrid w:val="0"/>
                <w:szCs w:val="22"/>
              </w:rPr>
            </w:pPr>
            <w:r w:rsidRPr="007F562E">
              <w:rPr>
                <w:rFonts w:cs="Arial"/>
                <w:bCs/>
                <w:snapToGrid w:val="0"/>
                <w:szCs w:val="22"/>
              </w:rPr>
              <w:t>The specified NTFV can safely transit the Causeway from mid-tide with no ballast up to high tide with full ballast, not considering storm surge or wake from other vessels.  Is this acceptable to PTA?</w:t>
            </w:r>
          </w:p>
          <w:p w14:paraId="3B31EDC0" w14:textId="77777777" w:rsidR="00493535" w:rsidRDefault="00493535" w:rsidP="0078468D">
            <w:pPr>
              <w:pStyle w:val="BodyText2"/>
              <w:spacing w:before="240" w:after="0"/>
              <w:ind w:left="284"/>
              <w:rPr>
                <w:rFonts w:cs="Arial"/>
                <w:b/>
                <w:snapToGrid w:val="0"/>
                <w:szCs w:val="22"/>
              </w:rPr>
            </w:pPr>
            <w:r w:rsidRPr="0078468D">
              <w:rPr>
                <w:rFonts w:cs="Arial"/>
                <w:b/>
                <w:snapToGrid w:val="0"/>
                <w:szCs w:val="22"/>
              </w:rPr>
              <w:t>Response:</w:t>
            </w:r>
          </w:p>
          <w:p w14:paraId="755BB959" w14:textId="5AE29187" w:rsidR="007F562E" w:rsidRPr="0078468D" w:rsidRDefault="007F562E" w:rsidP="007F562E">
            <w:pPr>
              <w:pStyle w:val="BodyText2"/>
              <w:ind w:left="284"/>
              <w:rPr>
                <w:rFonts w:cs="Arial"/>
                <w:b/>
                <w:snapToGrid w:val="0"/>
                <w:szCs w:val="22"/>
              </w:rPr>
            </w:pPr>
            <w:r w:rsidRPr="007F562E">
              <w:rPr>
                <w:rFonts w:cs="Arial"/>
                <w:bCs/>
                <w:snapToGrid w:val="0"/>
                <w:szCs w:val="22"/>
              </w:rPr>
              <w:t>Not applicable for the route currently being considered.</w:t>
            </w:r>
          </w:p>
          <w:p w14:paraId="35BAFB10" w14:textId="3BD983FB" w:rsidR="00493535" w:rsidRPr="00AC257E" w:rsidRDefault="00493535" w:rsidP="0078468D">
            <w:pPr>
              <w:pStyle w:val="BodyText2"/>
              <w:spacing w:before="240" w:after="0"/>
              <w:ind w:left="284"/>
              <w:rPr>
                <w:rFonts w:cs="Arial"/>
                <w:b/>
                <w:snapToGrid w:val="0"/>
                <w:szCs w:val="22"/>
              </w:rPr>
            </w:pPr>
            <w:r w:rsidRPr="00AC257E">
              <w:rPr>
                <w:rFonts w:cs="Arial"/>
                <w:b/>
                <w:snapToGrid w:val="0"/>
                <w:szCs w:val="22"/>
              </w:rPr>
              <w:t>RFI</w:t>
            </w:r>
            <w:r w:rsidR="005F42D2" w:rsidRPr="00AC257E">
              <w:rPr>
                <w:rFonts w:cs="Arial"/>
                <w:b/>
                <w:snapToGrid w:val="0"/>
                <w:szCs w:val="22"/>
              </w:rPr>
              <w:t xml:space="preserve"> </w:t>
            </w:r>
            <w:r w:rsidR="007F562E">
              <w:rPr>
                <w:rFonts w:cs="Arial"/>
                <w:b/>
                <w:snapToGrid w:val="0"/>
                <w:szCs w:val="22"/>
              </w:rPr>
              <w:t>2</w:t>
            </w:r>
            <w:r w:rsidR="008772D7" w:rsidRPr="00AC257E">
              <w:rPr>
                <w:rFonts w:cs="Arial"/>
                <w:b/>
                <w:snapToGrid w:val="0"/>
                <w:szCs w:val="22"/>
              </w:rPr>
              <w:t>2</w:t>
            </w:r>
            <w:r w:rsidRPr="00AC257E">
              <w:rPr>
                <w:rFonts w:cs="Arial"/>
                <w:b/>
                <w:snapToGrid w:val="0"/>
                <w:szCs w:val="22"/>
              </w:rPr>
              <w:t>:</w:t>
            </w:r>
          </w:p>
          <w:p w14:paraId="48AE524A" w14:textId="0738BC1A" w:rsidR="005F42D2" w:rsidRPr="00AC257E" w:rsidRDefault="007F562E" w:rsidP="005F42D2">
            <w:pPr>
              <w:pStyle w:val="BodyText2"/>
              <w:ind w:left="284"/>
              <w:rPr>
                <w:rFonts w:cs="Arial"/>
                <w:bCs/>
                <w:snapToGrid w:val="0"/>
                <w:szCs w:val="22"/>
              </w:rPr>
            </w:pPr>
            <w:r w:rsidRPr="007F562E">
              <w:rPr>
                <w:rFonts w:cs="Arial"/>
                <w:bCs/>
                <w:snapToGrid w:val="0"/>
                <w:szCs w:val="22"/>
              </w:rPr>
              <w:t>Has storm surge residual been considered in the setting of the tender specification?</w:t>
            </w:r>
          </w:p>
          <w:p w14:paraId="46B4EB11" w14:textId="51F5FB3F" w:rsidR="00493535" w:rsidRPr="0078468D" w:rsidRDefault="00493535" w:rsidP="0078468D">
            <w:pPr>
              <w:pStyle w:val="BodyText2"/>
              <w:spacing w:before="240" w:after="0"/>
              <w:ind w:left="284"/>
              <w:rPr>
                <w:rFonts w:cs="Arial"/>
                <w:b/>
                <w:snapToGrid w:val="0"/>
                <w:szCs w:val="22"/>
              </w:rPr>
            </w:pPr>
            <w:r w:rsidRPr="0078468D">
              <w:rPr>
                <w:rFonts w:cs="Arial"/>
                <w:b/>
                <w:snapToGrid w:val="0"/>
                <w:szCs w:val="22"/>
              </w:rPr>
              <w:t>Response:</w:t>
            </w:r>
          </w:p>
          <w:p w14:paraId="24D62ACC" w14:textId="3DAB88D3" w:rsidR="00493535" w:rsidRPr="00AC257E" w:rsidRDefault="007F562E" w:rsidP="00AC257E">
            <w:pPr>
              <w:pStyle w:val="BodyText2"/>
              <w:spacing w:after="0"/>
              <w:ind w:left="284"/>
              <w:rPr>
                <w:rFonts w:cs="Arial"/>
                <w:b/>
                <w:bCs/>
              </w:rPr>
            </w:pPr>
            <w:r>
              <w:t>Yes.</w:t>
            </w:r>
          </w:p>
          <w:p w14:paraId="47349E5D" w14:textId="1D0FFDB9" w:rsidR="00493535" w:rsidRDefault="00493535" w:rsidP="0078468D">
            <w:pPr>
              <w:pStyle w:val="BodyText2"/>
              <w:spacing w:before="240" w:after="0"/>
              <w:ind w:left="284"/>
              <w:rPr>
                <w:rFonts w:cs="Arial"/>
                <w:b/>
                <w:snapToGrid w:val="0"/>
                <w:szCs w:val="22"/>
              </w:rPr>
            </w:pPr>
            <w:r w:rsidRPr="005B11FD">
              <w:rPr>
                <w:rFonts w:cs="Arial"/>
                <w:b/>
                <w:snapToGrid w:val="0"/>
                <w:szCs w:val="22"/>
              </w:rPr>
              <w:t>RFI</w:t>
            </w:r>
            <w:r w:rsidR="005F42D2">
              <w:rPr>
                <w:rFonts w:cs="Arial"/>
                <w:b/>
                <w:snapToGrid w:val="0"/>
                <w:szCs w:val="22"/>
              </w:rPr>
              <w:t xml:space="preserve"> </w:t>
            </w:r>
            <w:r w:rsidR="007F562E">
              <w:rPr>
                <w:rFonts w:cs="Arial"/>
                <w:b/>
                <w:snapToGrid w:val="0"/>
                <w:szCs w:val="22"/>
              </w:rPr>
              <w:t>2</w:t>
            </w:r>
            <w:r w:rsidR="008772D7">
              <w:rPr>
                <w:rFonts w:cs="Arial"/>
                <w:b/>
                <w:snapToGrid w:val="0"/>
                <w:szCs w:val="22"/>
              </w:rPr>
              <w:t>3</w:t>
            </w:r>
            <w:r w:rsidRPr="005B11FD">
              <w:rPr>
                <w:rFonts w:cs="Arial"/>
                <w:b/>
                <w:snapToGrid w:val="0"/>
                <w:szCs w:val="22"/>
              </w:rPr>
              <w:t>:</w:t>
            </w:r>
          </w:p>
          <w:p w14:paraId="26904393" w14:textId="279CDA58" w:rsidR="005F42D2" w:rsidRPr="005F42D2" w:rsidRDefault="007F562E" w:rsidP="005F42D2">
            <w:pPr>
              <w:pStyle w:val="BodyText2"/>
              <w:ind w:left="284"/>
              <w:rPr>
                <w:rFonts w:cs="Arial"/>
                <w:bCs/>
                <w:snapToGrid w:val="0"/>
                <w:szCs w:val="22"/>
              </w:rPr>
            </w:pPr>
            <w:r w:rsidRPr="007F562E">
              <w:rPr>
                <w:rFonts w:cs="Arial"/>
                <w:bCs/>
                <w:snapToGrid w:val="0"/>
                <w:szCs w:val="22"/>
              </w:rPr>
              <w:t>A system is required to give the vessel master advance notice of when it is safe for the NTFV to transit the Causeway and how much ballast water should be carried.  Is this system the responsibility of the PTA or the shipyard?</w:t>
            </w:r>
          </w:p>
          <w:p w14:paraId="77624F2B" w14:textId="77777777" w:rsidR="00493535" w:rsidRPr="0078468D" w:rsidRDefault="00493535" w:rsidP="0078468D">
            <w:pPr>
              <w:pStyle w:val="BodyText2"/>
              <w:spacing w:before="240" w:after="0"/>
              <w:ind w:left="284"/>
              <w:rPr>
                <w:rFonts w:cs="Arial"/>
                <w:b/>
                <w:snapToGrid w:val="0"/>
                <w:szCs w:val="22"/>
              </w:rPr>
            </w:pPr>
            <w:r w:rsidRPr="0078468D">
              <w:rPr>
                <w:rFonts w:cs="Arial"/>
                <w:b/>
                <w:snapToGrid w:val="0"/>
                <w:szCs w:val="22"/>
              </w:rPr>
              <w:t>Response:</w:t>
            </w:r>
          </w:p>
          <w:p w14:paraId="43CDFD8C" w14:textId="77777777" w:rsidR="00493535" w:rsidRDefault="007F562E" w:rsidP="0078468D">
            <w:pPr>
              <w:pStyle w:val="BodyText2"/>
              <w:ind w:left="284"/>
              <w:rPr>
                <w:rFonts w:cs="Arial"/>
                <w:bCs/>
                <w:snapToGrid w:val="0"/>
                <w:szCs w:val="22"/>
              </w:rPr>
            </w:pPr>
            <w:r w:rsidRPr="007F562E">
              <w:rPr>
                <w:rFonts w:cs="Arial"/>
                <w:bCs/>
                <w:snapToGrid w:val="0"/>
                <w:szCs w:val="22"/>
              </w:rPr>
              <w:t>Not applicable for the route currently being considered.</w:t>
            </w:r>
          </w:p>
          <w:p w14:paraId="263DEA2C" w14:textId="567BD527" w:rsidR="007F562E" w:rsidRPr="007F562E" w:rsidRDefault="007F562E" w:rsidP="007F562E">
            <w:pPr>
              <w:pStyle w:val="BodyText2"/>
              <w:spacing w:before="240" w:after="0"/>
              <w:ind w:left="284"/>
              <w:rPr>
                <w:rFonts w:cs="Arial"/>
                <w:b/>
                <w:snapToGrid w:val="0"/>
                <w:szCs w:val="22"/>
              </w:rPr>
            </w:pPr>
            <w:r w:rsidRPr="007F562E">
              <w:rPr>
                <w:rFonts w:cs="Arial"/>
                <w:b/>
                <w:snapToGrid w:val="0"/>
                <w:szCs w:val="22"/>
              </w:rPr>
              <w:lastRenderedPageBreak/>
              <w:t>RFI 2</w:t>
            </w:r>
            <w:r>
              <w:rPr>
                <w:rFonts w:cs="Arial"/>
                <w:b/>
                <w:snapToGrid w:val="0"/>
                <w:szCs w:val="22"/>
              </w:rPr>
              <w:t>4</w:t>
            </w:r>
            <w:r w:rsidRPr="007F562E">
              <w:rPr>
                <w:rFonts w:cs="Arial"/>
                <w:b/>
                <w:snapToGrid w:val="0"/>
                <w:szCs w:val="22"/>
              </w:rPr>
              <w:t>:</w:t>
            </w:r>
          </w:p>
          <w:p w14:paraId="144AC3B9" w14:textId="77777777" w:rsidR="007F562E" w:rsidRPr="007F562E" w:rsidRDefault="007F562E" w:rsidP="0078468D">
            <w:pPr>
              <w:pStyle w:val="BodyText2"/>
              <w:ind w:left="284"/>
              <w:rPr>
                <w:rFonts w:cs="Arial"/>
                <w:bCs/>
                <w:snapToGrid w:val="0"/>
                <w:szCs w:val="22"/>
              </w:rPr>
            </w:pPr>
            <w:r w:rsidRPr="007F562E">
              <w:rPr>
                <w:rFonts w:cs="Arial"/>
                <w:bCs/>
                <w:snapToGrid w:val="0"/>
                <w:szCs w:val="22"/>
              </w:rPr>
              <w:t>Can the PTA confirm that river water flushing is desired, not Fresh Water?</w:t>
            </w:r>
          </w:p>
          <w:p w14:paraId="5C435E36" w14:textId="77777777" w:rsidR="007F562E" w:rsidRPr="007F562E" w:rsidRDefault="007F562E" w:rsidP="007F562E">
            <w:pPr>
              <w:pStyle w:val="BodyText2"/>
              <w:spacing w:before="240" w:after="0"/>
              <w:ind w:left="284"/>
              <w:rPr>
                <w:rFonts w:cs="Arial"/>
                <w:b/>
                <w:snapToGrid w:val="0"/>
                <w:szCs w:val="22"/>
              </w:rPr>
            </w:pPr>
            <w:r w:rsidRPr="007F562E">
              <w:rPr>
                <w:rFonts w:cs="Arial"/>
                <w:b/>
                <w:snapToGrid w:val="0"/>
                <w:szCs w:val="22"/>
              </w:rPr>
              <w:t>Response:</w:t>
            </w:r>
          </w:p>
          <w:p w14:paraId="5A455456" w14:textId="77777777" w:rsidR="007F562E" w:rsidRDefault="007F562E" w:rsidP="0078468D">
            <w:pPr>
              <w:pStyle w:val="BodyText2"/>
              <w:ind w:left="284"/>
              <w:rPr>
                <w:rFonts w:cs="Arial"/>
                <w:bCs/>
                <w:snapToGrid w:val="0"/>
                <w:szCs w:val="22"/>
              </w:rPr>
            </w:pPr>
            <w:r w:rsidRPr="007F562E">
              <w:rPr>
                <w:rFonts w:cs="Arial"/>
                <w:bCs/>
                <w:snapToGrid w:val="0"/>
                <w:szCs w:val="22"/>
              </w:rPr>
              <w:t>As per item A.217 of the Technical Specification, the toilet compartment shall be fitted with a seawater flush system.</w:t>
            </w:r>
          </w:p>
          <w:p w14:paraId="63DA2A1F" w14:textId="74DECF7C" w:rsidR="007F562E" w:rsidRPr="0046408E" w:rsidRDefault="007F562E" w:rsidP="0046408E">
            <w:pPr>
              <w:pStyle w:val="BodyText2"/>
              <w:spacing w:before="240" w:after="0"/>
              <w:ind w:left="284"/>
              <w:rPr>
                <w:rFonts w:cs="Arial"/>
                <w:b/>
                <w:snapToGrid w:val="0"/>
                <w:szCs w:val="22"/>
              </w:rPr>
            </w:pPr>
            <w:r w:rsidRPr="0046408E">
              <w:rPr>
                <w:rFonts w:cs="Arial"/>
                <w:b/>
                <w:snapToGrid w:val="0"/>
                <w:szCs w:val="22"/>
              </w:rPr>
              <w:t>RFI 25:</w:t>
            </w:r>
          </w:p>
          <w:p w14:paraId="070240E8" w14:textId="77777777" w:rsidR="007F562E" w:rsidRPr="0046408E" w:rsidRDefault="00AD493D" w:rsidP="0078468D">
            <w:pPr>
              <w:pStyle w:val="BodyText2"/>
              <w:ind w:left="284"/>
              <w:rPr>
                <w:rFonts w:cs="Arial"/>
                <w:bCs/>
                <w:snapToGrid w:val="0"/>
                <w:szCs w:val="22"/>
              </w:rPr>
            </w:pPr>
            <w:r w:rsidRPr="0046408E">
              <w:rPr>
                <w:rFonts w:cs="Arial"/>
                <w:bCs/>
                <w:snapToGrid w:val="0"/>
                <w:szCs w:val="22"/>
              </w:rPr>
              <w:t>Will a proposal using two vessel designs, each more suited to the different upstream and downstream services, be considered?</w:t>
            </w:r>
          </w:p>
          <w:p w14:paraId="5DA29BE8"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Response:</w:t>
            </w:r>
          </w:p>
          <w:p w14:paraId="79AF36DA" w14:textId="77777777" w:rsidR="00AD493D" w:rsidRPr="0046408E" w:rsidRDefault="00AD493D" w:rsidP="0078468D">
            <w:pPr>
              <w:pStyle w:val="BodyText2"/>
              <w:ind w:left="284"/>
              <w:rPr>
                <w:rFonts w:eastAsia="Times" w:cs="Arial"/>
              </w:rPr>
            </w:pPr>
            <w:r w:rsidRPr="0046408E">
              <w:rPr>
                <w:rFonts w:eastAsia="Times" w:cs="Arial"/>
              </w:rPr>
              <w:t>Not applicable for the route currently being considered.</w:t>
            </w:r>
          </w:p>
          <w:p w14:paraId="5C1E61FB"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RFI 26:</w:t>
            </w:r>
          </w:p>
          <w:p w14:paraId="533230F5" w14:textId="77777777" w:rsidR="00AD493D" w:rsidRPr="0046408E" w:rsidRDefault="00AD493D" w:rsidP="0078468D">
            <w:pPr>
              <w:pStyle w:val="BodyText2"/>
              <w:ind w:left="284"/>
              <w:rPr>
                <w:rFonts w:eastAsia="Times" w:cs="Arial"/>
              </w:rPr>
            </w:pPr>
            <w:r w:rsidRPr="0046408E">
              <w:rPr>
                <w:rFonts w:eastAsia="Times" w:cs="Arial"/>
              </w:rPr>
              <w:t>Would the PTA consider building a series of vessels truly suitable for Melville Water first, then build a dedicated series of vessels for upstream services later?</w:t>
            </w:r>
          </w:p>
          <w:p w14:paraId="3CE6AC15"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Response:</w:t>
            </w:r>
          </w:p>
          <w:p w14:paraId="714B11AA" w14:textId="77777777" w:rsidR="00AD493D" w:rsidRPr="0046408E" w:rsidRDefault="00AD493D" w:rsidP="00AD493D">
            <w:pPr>
              <w:pStyle w:val="BodyText2"/>
              <w:ind w:left="284"/>
              <w:rPr>
                <w:rFonts w:eastAsia="Times" w:cs="Arial"/>
              </w:rPr>
            </w:pPr>
            <w:r w:rsidRPr="0046408E">
              <w:rPr>
                <w:rFonts w:eastAsia="Times" w:cs="Arial"/>
              </w:rPr>
              <w:t>Not applicable for the route currently being considered.</w:t>
            </w:r>
          </w:p>
          <w:p w14:paraId="124E1BB3"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RFI 27:</w:t>
            </w:r>
          </w:p>
          <w:p w14:paraId="687C8EC0" w14:textId="77777777" w:rsidR="00AD493D" w:rsidRPr="0046408E" w:rsidRDefault="00AD493D" w:rsidP="0078468D">
            <w:pPr>
              <w:pStyle w:val="BodyText2"/>
              <w:ind w:left="284"/>
              <w:rPr>
                <w:rFonts w:eastAsia="Times" w:cs="Arial"/>
              </w:rPr>
            </w:pPr>
            <w:r w:rsidRPr="0046408E">
              <w:rPr>
                <w:rFonts w:eastAsia="Times" w:cs="Arial"/>
              </w:rPr>
              <w:t>Incat Crowther were commissioned to have significant influence on the vessel arrangement and tender specification, will they be permitted to submit their design services for the tender?  If so, is that not a conflict of interest?</w:t>
            </w:r>
          </w:p>
          <w:p w14:paraId="019F1BA1"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Response:</w:t>
            </w:r>
          </w:p>
          <w:p w14:paraId="1C591416" w14:textId="77777777" w:rsidR="00AD493D" w:rsidRPr="0046408E" w:rsidRDefault="00AD493D" w:rsidP="0078468D">
            <w:pPr>
              <w:pStyle w:val="BodyText2"/>
              <w:ind w:left="284"/>
              <w:rPr>
                <w:rFonts w:eastAsia="Times" w:cs="Arial"/>
              </w:rPr>
            </w:pPr>
            <w:r w:rsidRPr="0046408E">
              <w:rPr>
                <w:rFonts w:eastAsia="Times" w:cs="Arial"/>
              </w:rPr>
              <w:t>Incat Crowther were involved in the general arrangement however, not the development of Book 4, Technical Specification.</w:t>
            </w:r>
          </w:p>
          <w:p w14:paraId="07977DCC"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RFI 28:</w:t>
            </w:r>
          </w:p>
          <w:p w14:paraId="651E25B4" w14:textId="77777777" w:rsidR="00AD493D" w:rsidRPr="0046408E" w:rsidRDefault="00AD493D" w:rsidP="0078468D">
            <w:pPr>
              <w:pStyle w:val="BodyText2"/>
              <w:ind w:left="284"/>
              <w:rPr>
                <w:rFonts w:eastAsia="Times" w:cs="Arial"/>
              </w:rPr>
            </w:pPr>
            <w:r w:rsidRPr="0046408E">
              <w:rPr>
                <w:rFonts w:eastAsia="Times" w:cs="Arial"/>
              </w:rPr>
              <w:t>There are several quality naval architecture firms in WA with local knowledge of the Swan River, who could have advised the PTA for the NTFV.  What is the reason that this advisory/preliminary design requirement wasn’t tendered, or opportunity offered to WA designers?</w:t>
            </w:r>
          </w:p>
          <w:p w14:paraId="685E57FD"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Response:</w:t>
            </w:r>
          </w:p>
          <w:p w14:paraId="447BDEB7" w14:textId="77777777" w:rsidR="00AD493D" w:rsidRPr="0046408E" w:rsidRDefault="00AD493D" w:rsidP="0078468D">
            <w:pPr>
              <w:pStyle w:val="BodyText2"/>
              <w:ind w:left="284"/>
              <w:rPr>
                <w:rFonts w:eastAsia="Times" w:cs="Arial"/>
              </w:rPr>
            </w:pPr>
            <w:r w:rsidRPr="0046408E">
              <w:rPr>
                <w:rFonts w:eastAsia="Times" w:cs="Arial"/>
              </w:rPr>
              <w:t>The PTA won't comment on other procurement processes.</w:t>
            </w:r>
          </w:p>
          <w:p w14:paraId="544A1E8C"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RFI 29:</w:t>
            </w:r>
          </w:p>
          <w:p w14:paraId="48F93E75" w14:textId="77777777" w:rsidR="00AD493D" w:rsidRPr="0046408E" w:rsidRDefault="00AD493D" w:rsidP="0078468D">
            <w:pPr>
              <w:pStyle w:val="BodyText2"/>
              <w:ind w:left="284"/>
              <w:rPr>
                <w:rFonts w:eastAsia="Times" w:cs="Arial"/>
              </w:rPr>
            </w:pPr>
            <w:r w:rsidRPr="0046408E">
              <w:rPr>
                <w:rFonts w:eastAsia="Times" w:cs="Arial"/>
              </w:rPr>
              <w:t>Will a different design be required for Stage 2?</w:t>
            </w:r>
          </w:p>
          <w:p w14:paraId="4CAF7C4C"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Response:</w:t>
            </w:r>
          </w:p>
          <w:p w14:paraId="4DEF2389" w14:textId="77777777" w:rsidR="00AD493D" w:rsidRPr="0046408E" w:rsidRDefault="00AD493D" w:rsidP="0078468D">
            <w:pPr>
              <w:pStyle w:val="BodyText2"/>
              <w:ind w:left="284"/>
              <w:rPr>
                <w:rFonts w:eastAsia="Times" w:cs="Arial"/>
              </w:rPr>
            </w:pPr>
            <w:r w:rsidRPr="0046408E">
              <w:rPr>
                <w:rFonts w:eastAsia="Times" w:cs="Arial"/>
              </w:rPr>
              <w:t>Not applicable for the route currently being considered.</w:t>
            </w:r>
          </w:p>
          <w:p w14:paraId="679F0691"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RFI 30:</w:t>
            </w:r>
          </w:p>
          <w:p w14:paraId="7D61A420" w14:textId="77777777" w:rsidR="00AD493D" w:rsidRPr="0046408E" w:rsidRDefault="00AD493D" w:rsidP="0078468D">
            <w:pPr>
              <w:pStyle w:val="BodyText2"/>
              <w:ind w:left="284"/>
              <w:rPr>
                <w:rFonts w:eastAsia="Times" w:cs="Arial"/>
              </w:rPr>
            </w:pPr>
            <w:r w:rsidRPr="0046408E">
              <w:rPr>
                <w:rFonts w:eastAsia="Times" w:cs="Arial"/>
              </w:rPr>
              <w:t>Design deadweight – saltwater flush system?</w:t>
            </w:r>
          </w:p>
          <w:p w14:paraId="6F73F7C9"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Response:</w:t>
            </w:r>
          </w:p>
          <w:p w14:paraId="7B9890FA" w14:textId="77777777" w:rsidR="00AD493D" w:rsidRPr="0046408E" w:rsidRDefault="00AD493D" w:rsidP="0078468D">
            <w:pPr>
              <w:pStyle w:val="BodyText2"/>
              <w:ind w:left="284"/>
              <w:rPr>
                <w:rFonts w:eastAsia="Times" w:cs="Arial"/>
              </w:rPr>
            </w:pPr>
            <w:r w:rsidRPr="0046408E">
              <w:rPr>
                <w:rFonts w:eastAsia="Times" w:cs="Arial"/>
              </w:rPr>
              <w:t>As per item A.217 of the Technical Specification, the toilet compartment shall be fitted with a seawater flush system.</w:t>
            </w:r>
          </w:p>
          <w:p w14:paraId="698F5E07"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RFI 31:</w:t>
            </w:r>
          </w:p>
          <w:p w14:paraId="78C42E33" w14:textId="77777777" w:rsidR="00AD493D" w:rsidRPr="0046408E" w:rsidRDefault="00AD493D" w:rsidP="0078468D">
            <w:pPr>
              <w:pStyle w:val="BodyText2"/>
              <w:ind w:left="284"/>
              <w:rPr>
                <w:rFonts w:eastAsia="Times" w:cs="Arial"/>
              </w:rPr>
            </w:pPr>
            <w:r w:rsidRPr="0046408E">
              <w:rPr>
                <w:rFonts w:eastAsia="Times" w:cs="Arial"/>
              </w:rPr>
              <w:t>Why 25 knots?</w:t>
            </w:r>
          </w:p>
          <w:p w14:paraId="26BD9DA3"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Response:</w:t>
            </w:r>
          </w:p>
          <w:p w14:paraId="4929E0F5" w14:textId="77777777" w:rsidR="00AD493D" w:rsidRPr="0046408E" w:rsidRDefault="00AD493D" w:rsidP="0078468D">
            <w:pPr>
              <w:pStyle w:val="BodyText2"/>
              <w:ind w:left="284"/>
              <w:rPr>
                <w:rFonts w:eastAsia="Times" w:cs="Arial"/>
              </w:rPr>
            </w:pPr>
            <w:r w:rsidRPr="0046408E">
              <w:rPr>
                <w:rFonts w:eastAsia="Times" w:cs="Arial"/>
              </w:rPr>
              <w:lastRenderedPageBreak/>
              <w:t>Based on operational requirements for the timetabled service.</w:t>
            </w:r>
          </w:p>
          <w:p w14:paraId="69752AD5"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RFI 32:</w:t>
            </w:r>
          </w:p>
          <w:p w14:paraId="7D2904B2" w14:textId="77777777" w:rsidR="00AD493D" w:rsidRPr="0046408E" w:rsidRDefault="00AD493D" w:rsidP="0078468D">
            <w:pPr>
              <w:pStyle w:val="BodyText2"/>
              <w:ind w:left="284"/>
              <w:rPr>
                <w:rFonts w:eastAsia="Times" w:cs="Arial"/>
              </w:rPr>
            </w:pPr>
            <w:r w:rsidRPr="0046408E">
              <w:rPr>
                <w:rFonts w:eastAsia="Times" w:cs="Arial"/>
              </w:rPr>
              <w:t>Will you be seeking an exemption from 10 knots?</w:t>
            </w:r>
          </w:p>
          <w:p w14:paraId="1DCE86C8"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Response:</w:t>
            </w:r>
          </w:p>
          <w:p w14:paraId="2153B82D" w14:textId="77777777" w:rsidR="00AD493D" w:rsidRPr="0046408E" w:rsidRDefault="00AD493D" w:rsidP="0078468D">
            <w:pPr>
              <w:pStyle w:val="BodyText2"/>
              <w:ind w:left="284"/>
              <w:rPr>
                <w:rFonts w:eastAsia="Times" w:cs="Arial"/>
              </w:rPr>
            </w:pPr>
            <w:r w:rsidRPr="0046408E">
              <w:rPr>
                <w:rFonts w:eastAsia="Times" w:cs="Arial"/>
              </w:rPr>
              <w:t>Yes.</w:t>
            </w:r>
          </w:p>
          <w:p w14:paraId="7012DDAE" w14:textId="77777777" w:rsidR="00AD493D" w:rsidRPr="0046408E" w:rsidRDefault="00AD493D" w:rsidP="0046408E">
            <w:pPr>
              <w:pStyle w:val="BodyText2"/>
              <w:spacing w:before="240" w:after="0"/>
              <w:ind w:left="284"/>
              <w:rPr>
                <w:rFonts w:cs="Arial"/>
                <w:b/>
                <w:snapToGrid w:val="0"/>
                <w:szCs w:val="22"/>
              </w:rPr>
            </w:pPr>
            <w:r w:rsidRPr="0046408E">
              <w:rPr>
                <w:rFonts w:cs="Arial"/>
                <w:b/>
                <w:snapToGrid w:val="0"/>
                <w:szCs w:val="22"/>
              </w:rPr>
              <w:t>RFI 33:</w:t>
            </w:r>
          </w:p>
          <w:p w14:paraId="239EE391" w14:textId="77777777" w:rsidR="00AD493D" w:rsidRPr="0046408E" w:rsidRDefault="00AD493D" w:rsidP="0078468D">
            <w:pPr>
              <w:pStyle w:val="BodyText2"/>
              <w:ind w:left="284"/>
              <w:rPr>
                <w:rFonts w:eastAsia="Times" w:cs="Arial"/>
              </w:rPr>
            </w:pPr>
            <w:r w:rsidRPr="0046408E">
              <w:rPr>
                <w:rFonts w:eastAsia="Times" w:cs="Arial"/>
              </w:rPr>
              <w:t>Where will charging stations be located?</w:t>
            </w:r>
          </w:p>
          <w:p w14:paraId="722F0DDD" w14:textId="77777777" w:rsidR="00AD493D" w:rsidRDefault="00AD493D" w:rsidP="0046408E">
            <w:pPr>
              <w:pStyle w:val="BodyText2"/>
              <w:spacing w:before="240" w:after="0"/>
              <w:ind w:left="284"/>
              <w:rPr>
                <w:rFonts w:eastAsia="Times" w:cs="Arial"/>
                <w:b/>
                <w:bCs/>
              </w:rPr>
            </w:pPr>
            <w:r>
              <w:rPr>
                <w:rFonts w:eastAsia="Times" w:cs="Arial"/>
                <w:b/>
                <w:bCs/>
              </w:rPr>
              <w:t>Response:</w:t>
            </w:r>
          </w:p>
          <w:p w14:paraId="46B25FD1" w14:textId="77777777" w:rsidR="00AD493D" w:rsidRPr="0046408E" w:rsidRDefault="00AD493D" w:rsidP="0078468D">
            <w:pPr>
              <w:pStyle w:val="BodyText2"/>
              <w:ind w:left="284"/>
              <w:rPr>
                <w:rFonts w:eastAsia="Times" w:cs="Arial"/>
              </w:rPr>
            </w:pPr>
            <w:r w:rsidRPr="0046408E">
              <w:rPr>
                <w:rFonts w:eastAsia="Times" w:cs="Arial"/>
              </w:rPr>
              <w:t>The proposed Matilda Bay location (once determined).</w:t>
            </w:r>
          </w:p>
          <w:p w14:paraId="32359B86" w14:textId="77777777" w:rsidR="00AD493D" w:rsidRDefault="00AD493D" w:rsidP="0046408E">
            <w:pPr>
              <w:pStyle w:val="BodyText2"/>
              <w:spacing w:before="240" w:after="0"/>
              <w:ind w:left="284"/>
              <w:rPr>
                <w:rFonts w:eastAsia="Times" w:cs="Arial"/>
                <w:b/>
                <w:bCs/>
              </w:rPr>
            </w:pPr>
            <w:r>
              <w:rPr>
                <w:rFonts w:eastAsia="Times" w:cs="Arial"/>
                <w:b/>
                <w:bCs/>
              </w:rPr>
              <w:t>RFI 34:</w:t>
            </w:r>
          </w:p>
          <w:p w14:paraId="745A3BFE" w14:textId="77777777" w:rsidR="00AD493D" w:rsidRPr="0046408E" w:rsidRDefault="00AD493D" w:rsidP="0078468D">
            <w:pPr>
              <w:pStyle w:val="BodyText2"/>
              <w:ind w:left="284"/>
              <w:rPr>
                <w:rFonts w:eastAsia="Times" w:cs="Arial"/>
              </w:rPr>
            </w:pPr>
            <w:r w:rsidRPr="0046408E">
              <w:rPr>
                <w:rFonts w:eastAsia="Times" w:cs="Arial"/>
              </w:rPr>
              <w:t>5-minute timeslots are proposed in the timetable. There is no allowance for charging.</w:t>
            </w:r>
          </w:p>
          <w:p w14:paraId="11EE0A3B" w14:textId="77777777" w:rsidR="00AD493D" w:rsidRDefault="00AD493D" w:rsidP="0046408E">
            <w:pPr>
              <w:pStyle w:val="BodyText2"/>
              <w:spacing w:before="240" w:after="0"/>
              <w:ind w:left="284"/>
              <w:rPr>
                <w:rFonts w:eastAsia="Times" w:cs="Arial"/>
                <w:b/>
                <w:bCs/>
              </w:rPr>
            </w:pPr>
            <w:r>
              <w:rPr>
                <w:rFonts w:eastAsia="Times" w:cs="Arial"/>
                <w:b/>
                <w:bCs/>
              </w:rPr>
              <w:t>Response:</w:t>
            </w:r>
          </w:p>
          <w:p w14:paraId="176AD4D1" w14:textId="77777777" w:rsidR="00AD493D" w:rsidRPr="0046408E" w:rsidRDefault="00AD493D" w:rsidP="0078468D">
            <w:pPr>
              <w:pStyle w:val="BodyText2"/>
              <w:ind w:left="284"/>
              <w:rPr>
                <w:rFonts w:eastAsia="Times" w:cs="Arial"/>
              </w:rPr>
            </w:pPr>
            <w:r w:rsidRPr="0046408E">
              <w:rPr>
                <w:rFonts w:eastAsia="Times" w:cs="Arial"/>
              </w:rPr>
              <w:t>Opportunity charging will be carried out at Matilda Bay before the vessel is swapped out.</w:t>
            </w:r>
          </w:p>
          <w:p w14:paraId="4AD47B33" w14:textId="77777777" w:rsidR="00AD493D" w:rsidRDefault="00AD493D" w:rsidP="0046408E">
            <w:pPr>
              <w:pStyle w:val="BodyText2"/>
              <w:spacing w:before="240" w:after="0"/>
              <w:ind w:left="284"/>
              <w:rPr>
                <w:rFonts w:eastAsia="Times" w:cs="Arial"/>
                <w:b/>
                <w:bCs/>
              </w:rPr>
            </w:pPr>
            <w:r>
              <w:rPr>
                <w:rFonts w:eastAsia="Times" w:cs="Arial"/>
                <w:b/>
                <w:bCs/>
              </w:rPr>
              <w:t>RFI 35:</w:t>
            </w:r>
          </w:p>
          <w:p w14:paraId="5BA3F6DD" w14:textId="53AB424E" w:rsidR="00AD493D" w:rsidRPr="0046408E" w:rsidRDefault="00AD493D" w:rsidP="0078468D">
            <w:pPr>
              <w:pStyle w:val="BodyText2"/>
              <w:ind w:left="284"/>
              <w:rPr>
                <w:rFonts w:eastAsia="Times" w:cs="Arial"/>
              </w:rPr>
            </w:pPr>
            <w:r w:rsidRPr="0046408E">
              <w:rPr>
                <w:rFonts w:eastAsia="Times" w:cs="Arial"/>
              </w:rPr>
              <w:t xml:space="preserve">What are the </w:t>
            </w:r>
            <w:r w:rsidRPr="0046408E">
              <w:rPr>
                <w:rFonts w:eastAsia="Times" w:cs="Arial"/>
              </w:rPr>
              <w:t>delivery</w:t>
            </w:r>
            <w:r w:rsidRPr="0046408E">
              <w:rPr>
                <w:rFonts w:eastAsia="Times" w:cs="Arial"/>
              </w:rPr>
              <w:t xml:space="preserve"> dates of the vessels</w:t>
            </w:r>
            <w:r w:rsidRPr="0046408E">
              <w:rPr>
                <w:rFonts w:eastAsia="Times" w:cs="Arial"/>
              </w:rPr>
              <w:t>?</w:t>
            </w:r>
          </w:p>
          <w:p w14:paraId="70D7ED5F" w14:textId="4952C645" w:rsidR="00AD493D" w:rsidRDefault="00AD493D" w:rsidP="0046408E">
            <w:pPr>
              <w:pStyle w:val="BodyText2"/>
              <w:spacing w:before="240" w:after="0"/>
              <w:ind w:left="284"/>
              <w:rPr>
                <w:rFonts w:eastAsia="Times" w:cs="Arial"/>
                <w:b/>
                <w:bCs/>
              </w:rPr>
            </w:pPr>
            <w:r>
              <w:rPr>
                <w:rFonts w:eastAsia="Times" w:cs="Arial"/>
                <w:b/>
                <w:bCs/>
              </w:rPr>
              <w:t>Response:</w:t>
            </w:r>
          </w:p>
          <w:p w14:paraId="202DB1BB" w14:textId="77777777" w:rsidR="00AD493D" w:rsidRPr="0046408E" w:rsidRDefault="00AD493D" w:rsidP="0078468D">
            <w:pPr>
              <w:pStyle w:val="BodyText2"/>
              <w:ind w:left="284"/>
              <w:rPr>
                <w:rFonts w:eastAsia="Times" w:cs="Arial"/>
              </w:rPr>
            </w:pPr>
            <w:r w:rsidRPr="0046408E">
              <w:rPr>
                <w:rFonts w:eastAsia="Times" w:cs="Arial"/>
              </w:rPr>
              <w:t>As per the Schedule of Delivery included in Book 2b of the RFT documents</w:t>
            </w:r>
            <w:r w:rsidRPr="0046408E">
              <w:rPr>
                <w:rFonts w:eastAsia="Times" w:cs="Arial"/>
              </w:rPr>
              <w:t>.</w:t>
            </w:r>
          </w:p>
          <w:p w14:paraId="2A73B58E" w14:textId="77777777" w:rsidR="00AD493D" w:rsidRDefault="00AD493D" w:rsidP="0046408E">
            <w:pPr>
              <w:pStyle w:val="BodyText2"/>
              <w:spacing w:before="240" w:after="0"/>
              <w:ind w:left="284"/>
              <w:rPr>
                <w:rFonts w:eastAsia="Times" w:cs="Arial"/>
                <w:b/>
                <w:bCs/>
              </w:rPr>
            </w:pPr>
            <w:r>
              <w:rPr>
                <w:rFonts w:eastAsia="Times" w:cs="Arial"/>
                <w:b/>
                <w:bCs/>
              </w:rPr>
              <w:t>RFI 36:</w:t>
            </w:r>
          </w:p>
          <w:p w14:paraId="0E971190" w14:textId="77777777" w:rsidR="00AD493D" w:rsidRPr="0046408E" w:rsidRDefault="00AD493D" w:rsidP="0078468D">
            <w:pPr>
              <w:pStyle w:val="BodyText2"/>
              <w:ind w:left="284"/>
              <w:rPr>
                <w:rFonts w:eastAsia="Times" w:cs="Arial"/>
              </w:rPr>
            </w:pPr>
            <w:r w:rsidRPr="0046408E">
              <w:rPr>
                <w:rFonts w:eastAsia="Times" w:cs="Arial"/>
              </w:rPr>
              <w:t>Design seems to be owned by Incat Crowther, who will bear the performance aspects of it, if it doesn’t have the battery capacity and range as per the design?</w:t>
            </w:r>
          </w:p>
          <w:p w14:paraId="0CC0458B" w14:textId="77777777" w:rsidR="00AD493D" w:rsidRDefault="00AD493D" w:rsidP="0046408E">
            <w:pPr>
              <w:pStyle w:val="BodyText2"/>
              <w:spacing w:before="240" w:after="0"/>
              <w:ind w:left="284"/>
              <w:rPr>
                <w:rFonts w:eastAsia="Times" w:cs="Arial"/>
                <w:b/>
                <w:bCs/>
              </w:rPr>
            </w:pPr>
            <w:r>
              <w:rPr>
                <w:rFonts w:eastAsia="Times" w:cs="Arial"/>
                <w:b/>
                <w:bCs/>
              </w:rPr>
              <w:t>Response:</w:t>
            </w:r>
          </w:p>
          <w:p w14:paraId="6E38C529" w14:textId="77777777" w:rsidR="00AD493D" w:rsidRPr="0046408E" w:rsidRDefault="00AD493D" w:rsidP="0078468D">
            <w:pPr>
              <w:pStyle w:val="BodyText2"/>
              <w:ind w:left="284"/>
              <w:rPr>
                <w:rFonts w:eastAsia="Times" w:cs="Arial"/>
              </w:rPr>
            </w:pPr>
            <w:r w:rsidRPr="0046408E">
              <w:rPr>
                <w:rFonts w:eastAsia="Times" w:cs="Arial"/>
              </w:rPr>
              <w:t>As this is a D&amp;C contract, performance aspects will be the responsibility of the contractor.</w:t>
            </w:r>
          </w:p>
          <w:p w14:paraId="5D43E23D" w14:textId="77777777" w:rsidR="00AD493D" w:rsidRDefault="00AD493D" w:rsidP="0046408E">
            <w:pPr>
              <w:pStyle w:val="BodyText2"/>
              <w:spacing w:before="240" w:after="0"/>
              <w:ind w:left="284"/>
              <w:rPr>
                <w:rFonts w:eastAsia="Times" w:cs="Arial"/>
                <w:b/>
                <w:bCs/>
              </w:rPr>
            </w:pPr>
            <w:r>
              <w:rPr>
                <w:rFonts w:eastAsia="Times" w:cs="Arial"/>
                <w:b/>
                <w:bCs/>
              </w:rPr>
              <w:t>RFI 37:</w:t>
            </w:r>
          </w:p>
          <w:p w14:paraId="31FD60D7" w14:textId="77777777" w:rsidR="00AD493D" w:rsidRPr="0046408E" w:rsidRDefault="00AD493D" w:rsidP="0078468D">
            <w:pPr>
              <w:pStyle w:val="BodyText2"/>
              <w:ind w:left="284"/>
              <w:rPr>
                <w:rFonts w:eastAsia="Times" w:cs="Arial"/>
              </w:rPr>
            </w:pPr>
            <w:r w:rsidRPr="0046408E">
              <w:rPr>
                <w:rFonts w:eastAsia="Times" w:cs="Arial"/>
              </w:rPr>
              <w:t>Does Transperth own the design?</w:t>
            </w:r>
          </w:p>
          <w:p w14:paraId="454C568D" w14:textId="77777777" w:rsidR="00AD493D" w:rsidRDefault="00AD493D" w:rsidP="0046408E">
            <w:pPr>
              <w:pStyle w:val="BodyText2"/>
              <w:spacing w:before="240" w:after="0"/>
              <w:ind w:left="284"/>
              <w:rPr>
                <w:rFonts w:eastAsia="Times" w:cs="Arial"/>
                <w:b/>
                <w:bCs/>
              </w:rPr>
            </w:pPr>
            <w:r>
              <w:rPr>
                <w:rFonts w:eastAsia="Times" w:cs="Arial"/>
                <w:b/>
                <w:bCs/>
              </w:rPr>
              <w:t>Response:</w:t>
            </w:r>
          </w:p>
          <w:p w14:paraId="05142A32" w14:textId="77777777" w:rsidR="00AD493D" w:rsidRPr="0046408E" w:rsidRDefault="00AD493D" w:rsidP="0078468D">
            <w:pPr>
              <w:pStyle w:val="BodyText2"/>
              <w:ind w:left="284"/>
              <w:rPr>
                <w:rFonts w:eastAsia="Times" w:cs="Arial"/>
              </w:rPr>
            </w:pPr>
            <w:r w:rsidRPr="0046408E">
              <w:rPr>
                <w:rFonts w:eastAsia="Times" w:cs="Arial"/>
              </w:rPr>
              <w:t>The reference design is the PTA’s intellectual property.</w:t>
            </w:r>
          </w:p>
          <w:p w14:paraId="72A91D2B" w14:textId="77777777" w:rsidR="00AD493D" w:rsidRDefault="00AD493D" w:rsidP="0046408E">
            <w:pPr>
              <w:pStyle w:val="BodyText2"/>
              <w:spacing w:before="240" w:after="0"/>
              <w:ind w:left="284"/>
              <w:rPr>
                <w:rFonts w:eastAsia="Times" w:cs="Arial"/>
                <w:b/>
                <w:bCs/>
              </w:rPr>
            </w:pPr>
            <w:r>
              <w:rPr>
                <w:rFonts w:eastAsia="Times" w:cs="Arial"/>
                <w:b/>
                <w:bCs/>
              </w:rPr>
              <w:t>RFI 38:</w:t>
            </w:r>
          </w:p>
          <w:p w14:paraId="650FE017" w14:textId="77777777" w:rsidR="00AD493D" w:rsidRPr="0046408E" w:rsidRDefault="00AD493D" w:rsidP="0078468D">
            <w:pPr>
              <w:pStyle w:val="BodyText2"/>
              <w:ind w:left="284"/>
              <w:rPr>
                <w:rFonts w:eastAsia="Times" w:cs="Arial"/>
              </w:rPr>
            </w:pPr>
            <w:r w:rsidRPr="0046408E">
              <w:rPr>
                <w:rFonts w:eastAsia="Times" w:cs="Arial"/>
              </w:rPr>
              <w:t>W</w:t>
            </w:r>
            <w:r w:rsidRPr="0046408E">
              <w:rPr>
                <w:rFonts w:eastAsia="Times" w:cs="Arial"/>
              </w:rPr>
              <w:t>e respectfully request that an extension to the submission deadline be granted, in the order of 4-6 weeks</w:t>
            </w:r>
            <w:r w:rsidRPr="0046408E">
              <w:rPr>
                <w:rFonts w:eastAsia="Times" w:cs="Arial"/>
              </w:rPr>
              <w:t>?</w:t>
            </w:r>
          </w:p>
          <w:p w14:paraId="7FBEF74E" w14:textId="77777777" w:rsidR="00AD493D" w:rsidRDefault="00AD493D" w:rsidP="0046408E">
            <w:pPr>
              <w:pStyle w:val="BodyText2"/>
              <w:spacing w:before="240" w:after="0"/>
              <w:ind w:left="284"/>
              <w:rPr>
                <w:rFonts w:eastAsia="Times" w:cs="Arial"/>
                <w:b/>
                <w:bCs/>
              </w:rPr>
            </w:pPr>
            <w:r>
              <w:rPr>
                <w:rFonts w:eastAsia="Times" w:cs="Arial"/>
                <w:b/>
                <w:bCs/>
              </w:rPr>
              <w:t>Response:</w:t>
            </w:r>
          </w:p>
          <w:p w14:paraId="433A8767" w14:textId="6039BD3A" w:rsidR="00AD493D" w:rsidRPr="0046408E" w:rsidRDefault="00AD493D" w:rsidP="0078468D">
            <w:pPr>
              <w:pStyle w:val="BodyText2"/>
              <w:ind w:left="284"/>
              <w:rPr>
                <w:rFonts w:eastAsia="Times" w:cs="Arial"/>
              </w:rPr>
            </w:pPr>
            <w:r w:rsidRPr="0046408E">
              <w:rPr>
                <w:rFonts w:eastAsia="Times" w:cs="Arial"/>
              </w:rPr>
              <w:t>An extension won’t be considered at this time.</w:t>
            </w:r>
          </w:p>
        </w:tc>
      </w:tr>
      <w:tr w:rsidR="00016AF4" w14:paraId="244C399B" w14:textId="77777777" w:rsidTr="00CC39A5">
        <w:tblPrEx>
          <w:tblBorders>
            <w:top w:val="single" w:sz="4" w:space="0" w:color="auto"/>
          </w:tblBorders>
        </w:tblPrEx>
        <w:trPr>
          <w:gridAfter w:val="1"/>
          <w:wAfter w:w="339" w:type="dxa"/>
        </w:trPr>
        <w:tc>
          <w:tcPr>
            <w:tcW w:w="9635" w:type="dxa"/>
            <w:gridSpan w:val="3"/>
            <w:tcBorders>
              <w:top w:val="single" w:sz="4" w:space="0" w:color="auto"/>
            </w:tcBorders>
          </w:tcPr>
          <w:p w14:paraId="2CD067C7" w14:textId="77777777" w:rsidR="00016AF4" w:rsidRPr="00016AF4" w:rsidRDefault="00016AF4" w:rsidP="008E45BD">
            <w:pPr>
              <w:pStyle w:val="BodyText2"/>
              <w:spacing w:after="0"/>
              <w:ind w:left="284"/>
              <w:jc w:val="center"/>
              <w:rPr>
                <w:rFonts w:cs="Arial"/>
                <w:b/>
                <w:szCs w:val="22"/>
              </w:rPr>
            </w:pPr>
            <w:r w:rsidRPr="00016AF4">
              <w:rPr>
                <w:rFonts w:cs="Arial"/>
                <w:b/>
                <w:szCs w:val="22"/>
              </w:rPr>
              <w:lastRenderedPageBreak/>
              <w:t>Attachments</w:t>
            </w:r>
          </w:p>
          <w:p w14:paraId="5059E8FE" w14:textId="3AAD8DFA" w:rsidR="0042194A" w:rsidRPr="00672882" w:rsidRDefault="00AD493D" w:rsidP="0078468D">
            <w:pPr>
              <w:spacing w:before="60"/>
              <w:ind w:left="284"/>
              <w:rPr>
                <w:rFonts w:ascii="Arial" w:hAnsi="Arial" w:cs="Arial"/>
                <w:snapToGrid w:val="0"/>
              </w:rPr>
            </w:pPr>
            <w:r>
              <w:rPr>
                <w:rFonts w:ascii="Arial" w:hAnsi="Arial" w:cs="Arial"/>
                <w:snapToGrid w:val="0"/>
              </w:rPr>
              <w:t>Nil</w:t>
            </w:r>
          </w:p>
        </w:tc>
      </w:tr>
    </w:tbl>
    <w:p w14:paraId="1B4AC747" w14:textId="49D5A54B" w:rsidR="00D928DA" w:rsidRPr="005B11FD" w:rsidRDefault="003E12C5" w:rsidP="003E12C5">
      <w:pPr>
        <w:pBdr>
          <w:top w:val="single" w:sz="4" w:space="1" w:color="auto"/>
        </w:pBdr>
        <w:spacing w:before="120"/>
        <w:jc w:val="center"/>
        <w:rPr>
          <w:rFonts w:ascii="Arial" w:hAnsi="Arial" w:cs="Arial"/>
          <w:i/>
          <w:snapToGrid w:val="0"/>
        </w:rPr>
      </w:pPr>
      <w:r w:rsidRPr="005B11FD">
        <w:rPr>
          <w:rFonts w:ascii="Arial" w:hAnsi="Arial" w:cs="Arial"/>
          <w:i/>
          <w:snapToGrid w:val="0"/>
        </w:rPr>
        <w:t xml:space="preserve">~~ </w:t>
      </w:r>
      <w:r w:rsidRPr="001623FF">
        <w:rPr>
          <w:rFonts w:ascii="Arial" w:hAnsi="Arial" w:cs="Arial"/>
          <w:i/>
          <w:snapToGrid w:val="0"/>
        </w:rPr>
        <w:t xml:space="preserve">End of </w:t>
      </w:r>
      <w:r w:rsidRPr="004D4493">
        <w:rPr>
          <w:rFonts w:ascii="Arial" w:hAnsi="Arial" w:cs="Arial"/>
          <w:i/>
          <w:snapToGrid w:val="0"/>
        </w:rPr>
        <w:fldChar w:fldCharType="begin"/>
      </w:r>
      <w:r w:rsidRPr="004D4493">
        <w:rPr>
          <w:rFonts w:ascii="Arial" w:hAnsi="Arial" w:cs="Arial"/>
          <w:i/>
          <w:snapToGrid w:val="0"/>
        </w:rPr>
        <w:instrText xml:space="preserve"> REF addendum_title  \* MERGEFORMAT </w:instrText>
      </w:r>
      <w:r w:rsidRPr="004D4493">
        <w:rPr>
          <w:rFonts w:ascii="Arial" w:hAnsi="Arial" w:cs="Arial"/>
          <w:i/>
          <w:snapToGrid w:val="0"/>
        </w:rPr>
        <w:fldChar w:fldCharType="separate"/>
      </w:r>
      <w:r w:rsidR="00AD493D" w:rsidRPr="00AD493D">
        <w:rPr>
          <w:rFonts w:ascii="Arial" w:hAnsi="Arial" w:cs="Arial"/>
          <w:i/>
          <w:snapToGrid w:val="0"/>
        </w:rPr>
        <w:t>Addendum No 4</w:t>
      </w:r>
      <w:r w:rsidR="00AD493D" w:rsidRPr="005B11FD">
        <w:rPr>
          <w:rFonts w:ascii="Trebuchet MS" w:hAnsi="Trebuchet MS"/>
          <w:i/>
          <w:spacing w:val="-40"/>
          <w:sz w:val="56"/>
          <w:szCs w:val="56"/>
        </w:rPr>
        <w:t xml:space="preserve"> </w:t>
      </w:r>
      <w:r w:rsidRPr="004D4493">
        <w:rPr>
          <w:rFonts w:ascii="Arial" w:hAnsi="Arial" w:cs="Arial"/>
          <w:i/>
          <w:snapToGrid w:val="0"/>
        </w:rPr>
        <w:fldChar w:fldCharType="end"/>
      </w:r>
      <w:r w:rsidRPr="004D4493">
        <w:rPr>
          <w:rFonts w:ascii="Arial" w:hAnsi="Arial" w:cs="Arial"/>
          <w:i/>
          <w:snapToGrid w:val="0"/>
        </w:rPr>
        <w:t xml:space="preserve"> ~~</w:t>
      </w:r>
    </w:p>
    <w:sectPr w:rsidR="00D928DA" w:rsidRPr="005B11FD" w:rsidSect="002F26CE">
      <w:headerReference w:type="default" r:id="rId10"/>
      <w:footerReference w:type="default" r:id="rId11"/>
      <w:type w:val="continuous"/>
      <w:pgSz w:w="11904" w:h="16843"/>
      <w:pgMar w:top="851" w:right="1531" w:bottom="1627" w:left="1588" w:header="862" w:footer="6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F66B3" w14:textId="77777777" w:rsidR="009E02C8" w:rsidRDefault="009E02C8">
      <w:r>
        <w:separator/>
      </w:r>
    </w:p>
  </w:endnote>
  <w:endnote w:type="continuationSeparator" w:id="0">
    <w:p w14:paraId="4E6907BB" w14:textId="77777777" w:rsidR="009E02C8" w:rsidRDefault="009E0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AFAB2" w14:textId="77777777" w:rsidR="00E77C2A" w:rsidRDefault="00E77C2A" w:rsidP="00E77C2A">
    <w:pPr>
      <w:spacing w:line="240" w:lineRule="exact"/>
      <w:ind w:right="-145"/>
      <w:jc w:val="right"/>
      <w:rPr>
        <w:rFonts w:ascii="Trebuchet MS" w:hAnsi="Trebuchet MS"/>
        <w:sz w:val="20"/>
      </w:rPr>
    </w:pPr>
    <w:r>
      <w:rPr>
        <w:rFonts w:ascii="Trebuchet MS" w:hAnsi="Trebuchet MS"/>
        <w:sz w:val="20"/>
      </w:rPr>
      <w:t>Public Transport Centre, West Parade, Perth, Western Australia 6000</w:t>
    </w:r>
  </w:p>
  <w:p w14:paraId="63703CB4" w14:textId="77777777" w:rsidR="00E77C2A" w:rsidRDefault="00E77C2A" w:rsidP="00E77C2A">
    <w:pPr>
      <w:spacing w:line="240" w:lineRule="exact"/>
      <w:ind w:right="-145"/>
      <w:jc w:val="right"/>
      <w:rPr>
        <w:rFonts w:ascii="Trebuchet MS" w:hAnsi="Trebuchet MS"/>
        <w:sz w:val="20"/>
      </w:rPr>
    </w:pPr>
    <w:smartTag w:uri="urn:schemas-microsoft-com:office:smarttags" w:element="address">
      <w:smartTag w:uri="urn:schemas-microsoft-com:office:smarttags" w:element="Street">
        <w:r>
          <w:rPr>
            <w:rFonts w:ascii="Trebuchet MS" w:hAnsi="Trebuchet MS"/>
            <w:sz w:val="20"/>
          </w:rPr>
          <w:t>PO Box 8125</w:t>
        </w:r>
      </w:smartTag>
      <w:r>
        <w:rPr>
          <w:rFonts w:ascii="Trebuchet MS" w:hAnsi="Trebuchet MS"/>
          <w:sz w:val="20"/>
        </w:rPr>
        <w:t xml:space="preserve">, </w:t>
      </w:r>
      <w:smartTag w:uri="urn:schemas-microsoft-com:office:smarttags" w:element="City">
        <w:r>
          <w:rPr>
            <w:rFonts w:ascii="Trebuchet MS" w:hAnsi="Trebuchet MS"/>
            <w:sz w:val="20"/>
          </w:rPr>
          <w:t>Perth</w:t>
        </w:r>
      </w:smartTag>
    </w:smartTag>
    <w:r>
      <w:rPr>
        <w:rFonts w:ascii="Trebuchet MS" w:hAnsi="Trebuchet MS"/>
        <w:sz w:val="20"/>
      </w:rPr>
      <w:t xml:space="preserve"> Business Centre, Western Australia 6849</w:t>
    </w:r>
  </w:p>
  <w:p w14:paraId="63D5AE83" w14:textId="77777777" w:rsidR="00E77C2A" w:rsidRDefault="00E77C2A" w:rsidP="00E77C2A">
    <w:pPr>
      <w:pStyle w:val="BodyText"/>
      <w:spacing w:line="240" w:lineRule="exact"/>
      <w:ind w:right="-145"/>
      <w:rPr>
        <w:sz w:val="20"/>
      </w:rPr>
    </w:pPr>
    <w:r>
      <w:rPr>
        <w:sz w:val="20"/>
      </w:rPr>
      <w:t>T (08) 9326 2000 enquire@pta.wa.gov.au www.pta.wa.gov.au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7AA24" w14:textId="77777777" w:rsidR="00677AB5" w:rsidRPr="00D928DA" w:rsidRDefault="00677AB5" w:rsidP="00D928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87C8D" w14:textId="77777777" w:rsidR="009E02C8" w:rsidRDefault="009E02C8">
      <w:r>
        <w:separator/>
      </w:r>
    </w:p>
  </w:footnote>
  <w:footnote w:type="continuationSeparator" w:id="0">
    <w:p w14:paraId="16FFD23F" w14:textId="77777777" w:rsidR="009E02C8" w:rsidRDefault="009E0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E82E5" w14:textId="42B6B6BA" w:rsidR="00501672" w:rsidRPr="00D928DA" w:rsidRDefault="005B1873" w:rsidP="003E12C5">
    <w:pPr>
      <w:pBdr>
        <w:bottom w:val="single" w:sz="4" w:space="1" w:color="auto"/>
      </w:pBdr>
      <w:tabs>
        <w:tab w:val="center" w:pos="4395"/>
        <w:tab w:val="right" w:pos="8789"/>
      </w:tabs>
      <w:spacing w:line="240" w:lineRule="exact"/>
      <w:ind w:right="-145"/>
      <w:rPr>
        <w:rFonts w:ascii="Arial" w:hAnsi="Arial" w:cs="Arial"/>
        <w:sz w:val="20"/>
      </w:rPr>
    </w:pPr>
    <w:r w:rsidRPr="0042194A">
      <w:rPr>
        <w:rFonts w:ascii="Arial" w:hAnsi="Arial" w:cs="Arial"/>
        <w:sz w:val="20"/>
      </w:rPr>
      <w:t>PTA</w:t>
    </w:r>
    <w:r w:rsidR="0042194A" w:rsidRPr="0042194A">
      <w:rPr>
        <w:rFonts w:ascii="Arial" w:hAnsi="Arial" w:cs="Arial"/>
        <w:sz w:val="20"/>
      </w:rPr>
      <w:t>250023</w:t>
    </w:r>
    <w:r w:rsidR="00501672" w:rsidRPr="00D928DA">
      <w:rPr>
        <w:rFonts w:ascii="Arial" w:hAnsi="Arial" w:cs="Arial"/>
        <w:sz w:val="20"/>
      </w:rPr>
      <w:tab/>
    </w:r>
    <w:r w:rsidR="00501672" w:rsidRPr="00D928DA">
      <w:rPr>
        <w:rFonts w:ascii="Arial" w:hAnsi="Arial" w:cs="Arial"/>
        <w:sz w:val="20"/>
      </w:rPr>
      <w:tab/>
      <w:t xml:space="preserve">Page </w:t>
    </w:r>
    <w:r w:rsidR="00501672" w:rsidRPr="00D928DA">
      <w:rPr>
        <w:rFonts w:ascii="Arial" w:hAnsi="Arial" w:cs="Arial"/>
        <w:sz w:val="20"/>
      </w:rPr>
      <w:fldChar w:fldCharType="begin"/>
    </w:r>
    <w:r w:rsidR="00501672" w:rsidRPr="00D928DA">
      <w:rPr>
        <w:rFonts w:ascii="Arial" w:hAnsi="Arial" w:cs="Arial"/>
        <w:sz w:val="20"/>
      </w:rPr>
      <w:instrText xml:space="preserve"> PAGE </w:instrText>
    </w:r>
    <w:r w:rsidR="00501672" w:rsidRPr="00D928DA">
      <w:rPr>
        <w:rFonts w:ascii="Arial" w:hAnsi="Arial" w:cs="Arial"/>
        <w:sz w:val="20"/>
      </w:rPr>
      <w:fldChar w:fldCharType="separate"/>
    </w:r>
    <w:r w:rsidR="001623FF">
      <w:rPr>
        <w:rFonts w:ascii="Arial" w:hAnsi="Arial" w:cs="Arial"/>
        <w:noProof/>
        <w:sz w:val="20"/>
      </w:rPr>
      <w:t>2</w:t>
    </w:r>
    <w:r w:rsidR="00501672" w:rsidRPr="00D928DA">
      <w:rPr>
        <w:rFonts w:ascii="Arial" w:hAnsi="Arial" w:cs="Arial"/>
        <w:sz w:val="20"/>
      </w:rPr>
      <w:fldChar w:fldCharType="end"/>
    </w:r>
    <w:r w:rsidR="00501672" w:rsidRPr="00D928DA">
      <w:rPr>
        <w:rFonts w:ascii="Arial" w:hAnsi="Arial" w:cs="Arial"/>
        <w:sz w:val="20"/>
      </w:rPr>
      <w:t xml:space="preserve"> of </w:t>
    </w:r>
    <w:r w:rsidR="00501672" w:rsidRPr="00D928DA">
      <w:rPr>
        <w:rFonts w:ascii="Arial" w:hAnsi="Arial" w:cs="Arial"/>
        <w:sz w:val="20"/>
      </w:rPr>
      <w:fldChar w:fldCharType="begin"/>
    </w:r>
    <w:r w:rsidR="00501672" w:rsidRPr="00D928DA">
      <w:rPr>
        <w:rFonts w:ascii="Arial" w:hAnsi="Arial" w:cs="Arial"/>
        <w:sz w:val="20"/>
      </w:rPr>
      <w:instrText xml:space="preserve"> NUMPAGES </w:instrText>
    </w:r>
    <w:r w:rsidR="00501672" w:rsidRPr="00D928DA">
      <w:rPr>
        <w:rFonts w:ascii="Arial" w:hAnsi="Arial" w:cs="Arial"/>
        <w:sz w:val="20"/>
      </w:rPr>
      <w:fldChar w:fldCharType="separate"/>
    </w:r>
    <w:r w:rsidR="001623FF">
      <w:rPr>
        <w:rFonts w:ascii="Arial" w:hAnsi="Arial" w:cs="Arial"/>
        <w:noProof/>
        <w:sz w:val="20"/>
      </w:rPr>
      <w:t>2</w:t>
    </w:r>
    <w:r w:rsidR="00501672" w:rsidRPr="00D928DA">
      <w:rPr>
        <w:rFonts w:ascii="Arial" w:hAnsi="Arial" w:cs="Arial"/>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93AA0"/>
    <w:multiLevelType w:val="hybridMultilevel"/>
    <w:tmpl w:val="F8ACA132"/>
    <w:lvl w:ilvl="0" w:tplc="4682590E">
      <w:start w:val="1"/>
      <w:numFmt w:val="bullet"/>
      <w:lvlText w:val="-"/>
      <w:lvlJc w:val="left"/>
      <w:pPr>
        <w:tabs>
          <w:tab w:val="num" w:pos="720"/>
        </w:tabs>
        <w:ind w:left="720" w:hanging="360"/>
      </w:pPr>
      <w:rPr>
        <w:rFonts w:ascii="Arial" w:eastAsia="Times" w:hAnsi="Aria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4A7308"/>
    <w:multiLevelType w:val="hybridMultilevel"/>
    <w:tmpl w:val="650E26CA"/>
    <w:lvl w:ilvl="0" w:tplc="0B5C3E4C">
      <w:start w:val="2"/>
      <w:numFmt w:val="decimal"/>
      <w:lvlText w:val="%1."/>
      <w:lvlJc w:val="left"/>
      <w:pPr>
        <w:tabs>
          <w:tab w:val="num" w:pos="720"/>
        </w:tabs>
        <w:ind w:left="720" w:hanging="360"/>
      </w:pPr>
      <w:rPr>
        <w:rFonts w:hint="default"/>
        <w:b/>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9831602"/>
    <w:multiLevelType w:val="hybridMultilevel"/>
    <w:tmpl w:val="211A29B8"/>
    <w:lvl w:ilvl="0" w:tplc="D20C97DA">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B3B7699"/>
    <w:multiLevelType w:val="hybridMultilevel"/>
    <w:tmpl w:val="3C94456C"/>
    <w:lvl w:ilvl="0" w:tplc="761451F6">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622BE1"/>
    <w:multiLevelType w:val="multilevel"/>
    <w:tmpl w:val="F8ACA132"/>
    <w:lvl w:ilvl="0">
      <w:start w:val="1"/>
      <w:numFmt w:val="bullet"/>
      <w:lvlText w:val="-"/>
      <w:lvlJc w:val="left"/>
      <w:pPr>
        <w:tabs>
          <w:tab w:val="num" w:pos="720"/>
        </w:tabs>
        <w:ind w:left="720" w:hanging="360"/>
      </w:pPr>
      <w:rPr>
        <w:rFonts w:ascii="Arial" w:eastAsia="Times" w:hAnsi="Aria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0B7B19"/>
    <w:multiLevelType w:val="singleLevel"/>
    <w:tmpl w:val="D0A01C4E"/>
    <w:lvl w:ilvl="0">
      <w:start w:val="1"/>
      <w:numFmt w:val="bullet"/>
      <w:pStyle w:val="Dash"/>
      <w:lvlText w:val="–"/>
      <w:lvlJc w:val="left"/>
      <w:pPr>
        <w:tabs>
          <w:tab w:val="num" w:pos="360"/>
        </w:tabs>
        <w:ind w:left="284" w:hanging="284"/>
      </w:pPr>
      <w:rPr>
        <w:rFonts w:ascii="Times New Roman" w:hAnsi="Times New Roman" w:hint="default"/>
        <w:b w:val="0"/>
        <w:i w:val="0"/>
        <w:sz w:val="20"/>
      </w:rPr>
    </w:lvl>
  </w:abstractNum>
  <w:abstractNum w:abstractNumId="6" w15:restartNumberingAfterBreak="0">
    <w:nsid w:val="158E152C"/>
    <w:multiLevelType w:val="hybridMultilevel"/>
    <w:tmpl w:val="BE3EDCA0"/>
    <w:lvl w:ilvl="0" w:tplc="C2A82F7A">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9EE054E"/>
    <w:multiLevelType w:val="hybridMultilevel"/>
    <w:tmpl w:val="0DA25774"/>
    <w:lvl w:ilvl="0" w:tplc="9692E23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6926935"/>
    <w:multiLevelType w:val="hybridMultilevel"/>
    <w:tmpl w:val="351AB7F8"/>
    <w:lvl w:ilvl="0" w:tplc="14600B56">
      <w:start w:val="1"/>
      <w:numFmt w:val="decimal"/>
      <w:lvlText w:val="%1."/>
      <w:lvlJc w:val="left"/>
      <w:pPr>
        <w:tabs>
          <w:tab w:val="num" w:pos="720"/>
        </w:tabs>
        <w:ind w:left="720" w:hanging="360"/>
      </w:pPr>
      <w:rPr>
        <w:rFonts w:hint="default"/>
        <w:b w:val="0"/>
      </w:rPr>
    </w:lvl>
    <w:lvl w:ilvl="1" w:tplc="C86A29A0">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A3F0056"/>
    <w:multiLevelType w:val="hybridMultilevel"/>
    <w:tmpl w:val="319A47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AFA794B"/>
    <w:multiLevelType w:val="hybridMultilevel"/>
    <w:tmpl w:val="18ACD0B2"/>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2CEA5888"/>
    <w:multiLevelType w:val="hybridMultilevel"/>
    <w:tmpl w:val="2D903232"/>
    <w:lvl w:ilvl="0" w:tplc="4A0C376E">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FDE24F5"/>
    <w:multiLevelType w:val="hybridMultilevel"/>
    <w:tmpl w:val="F6BC3354"/>
    <w:lvl w:ilvl="0" w:tplc="C5CA6E54">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D38415C"/>
    <w:multiLevelType w:val="hybridMultilevel"/>
    <w:tmpl w:val="46382FD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4" w15:restartNumberingAfterBreak="0">
    <w:nsid w:val="3E9E7EC1"/>
    <w:multiLevelType w:val="hybridMultilevel"/>
    <w:tmpl w:val="F3EA0620"/>
    <w:lvl w:ilvl="0" w:tplc="D2DA8236">
      <w:start w:val="1"/>
      <w:numFmt w:val="bullet"/>
      <w:lvlText w:val=""/>
      <w:lvlJc w:val="left"/>
      <w:pPr>
        <w:tabs>
          <w:tab w:val="num" w:pos="284"/>
        </w:tabs>
        <w:ind w:left="284" w:hanging="284"/>
      </w:pPr>
      <w:rPr>
        <w:rFonts w:ascii="Symbol" w:hAnsi="Symbo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5" w15:restartNumberingAfterBreak="0">
    <w:nsid w:val="48180DDF"/>
    <w:multiLevelType w:val="hybridMultilevel"/>
    <w:tmpl w:val="EF845CC4"/>
    <w:lvl w:ilvl="0" w:tplc="26E228B0">
      <w:start w:val="1"/>
      <w:numFmt w:val="bullet"/>
      <w:pStyle w:val="List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A17714"/>
    <w:multiLevelType w:val="hybridMultilevel"/>
    <w:tmpl w:val="320689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7897B9B"/>
    <w:multiLevelType w:val="singleLevel"/>
    <w:tmpl w:val="C11A9EE2"/>
    <w:lvl w:ilvl="0">
      <w:start w:val="1"/>
      <w:numFmt w:val="bullet"/>
      <w:pStyle w:val="Bullet"/>
      <w:lvlText w:val=""/>
      <w:lvlJc w:val="left"/>
      <w:pPr>
        <w:tabs>
          <w:tab w:val="num" w:pos="360"/>
        </w:tabs>
        <w:ind w:left="284" w:hanging="284"/>
      </w:pPr>
      <w:rPr>
        <w:rFonts w:ascii="Symbol" w:hAnsi="Symbo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D3C0DB8"/>
    <w:multiLevelType w:val="hybridMultilevel"/>
    <w:tmpl w:val="D7FA397A"/>
    <w:lvl w:ilvl="0" w:tplc="4A0C376E">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5FC546F9"/>
    <w:multiLevelType w:val="hybridMultilevel"/>
    <w:tmpl w:val="FEFA4CB6"/>
    <w:lvl w:ilvl="0" w:tplc="7B002722">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63B90A94"/>
    <w:multiLevelType w:val="hybridMultilevel"/>
    <w:tmpl w:val="ED74F992"/>
    <w:lvl w:ilvl="0" w:tplc="0C09000F">
      <w:start w:val="1"/>
      <w:numFmt w:val="decimal"/>
      <w:lvlText w:val="%1."/>
      <w:lvlJc w:val="left"/>
      <w:pPr>
        <w:tabs>
          <w:tab w:val="num" w:pos="1170"/>
        </w:tabs>
        <w:ind w:left="1170" w:hanging="360"/>
      </w:pPr>
    </w:lvl>
    <w:lvl w:ilvl="1" w:tplc="0C090019" w:tentative="1">
      <w:start w:val="1"/>
      <w:numFmt w:val="lowerLetter"/>
      <w:lvlText w:val="%2."/>
      <w:lvlJc w:val="left"/>
      <w:pPr>
        <w:tabs>
          <w:tab w:val="num" w:pos="1890"/>
        </w:tabs>
        <w:ind w:left="1890" w:hanging="360"/>
      </w:pPr>
    </w:lvl>
    <w:lvl w:ilvl="2" w:tplc="0C09001B" w:tentative="1">
      <w:start w:val="1"/>
      <w:numFmt w:val="lowerRoman"/>
      <w:lvlText w:val="%3."/>
      <w:lvlJc w:val="right"/>
      <w:pPr>
        <w:tabs>
          <w:tab w:val="num" w:pos="2610"/>
        </w:tabs>
        <w:ind w:left="2610" w:hanging="180"/>
      </w:pPr>
    </w:lvl>
    <w:lvl w:ilvl="3" w:tplc="0C09000F" w:tentative="1">
      <w:start w:val="1"/>
      <w:numFmt w:val="decimal"/>
      <w:lvlText w:val="%4."/>
      <w:lvlJc w:val="left"/>
      <w:pPr>
        <w:tabs>
          <w:tab w:val="num" w:pos="3330"/>
        </w:tabs>
        <w:ind w:left="3330" w:hanging="360"/>
      </w:pPr>
    </w:lvl>
    <w:lvl w:ilvl="4" w:tplc="0C090019" w:tentative="1">
      <w:start w:val="1"/>
      <w:numFmt w:val="lowerLetter"/>
      <w:lvlText w:val="%5."/>
      <w:lvlJc w:val="left"/>
      <w:pPr>
        <w:tabs>
          <w:tab w:val="num" w:pos="4050"/>
        </w:tabs>
        <w:ind w:left="4050" w:hanging="360"/>
      </w:pPr>
    </w:lvl>
    <w:lvl w:ilvl="5" w:tplc="0C09001B" w:tentative="1">
      <w:start w:val="1"/>
      <w:numFmt w:val="lowerRoman"/>
      <w:lvlText w:val="%6."/>
      <w:lvlJc w:val="right"/>
      <w:pPr>
        <w:tabs>
          <w:tab w:val="num" w:pos="4770"/>
        </w:tabs>
        <w:ind w:left="4770" w:hanging="180"/>
      </w:pPr>
    </w:lvl>
    <w:lvl w:ilvl="6" w:tplc="0C09000F" w:tentative="1">
      <w:start w:val="1"/>
      <w:numFmt w:val="decimal"/>
      <w:lvlText w:val="%7."/>
      <w:lvlJc w:val="left"/>
      <w:pPr>
        <w:tabs>
          <w:tab w:val="num" w:pos="5490"/>
        </w:tabs>
        <w:ind w:left="5490" w:hanging="360"/>
      </w:pPr>
    </w:lvl>
    <w:lvl w:ilvl="7" w:tplc="0C090019" w:tentative="1">
      <w:start w:val="1"/>
      <w:numFmt w:val="lowerLetter"/>
      <w:lvlText w:val="%8."/>
      <w:lvlJc w:val="left"/>
      <w:pPr>
        <w:tabs>
          <w:tab w:val="num" w:pos="6210"/>
        </w:tabs>
        <w:ind w:left="6210" w:hanging="360"/>
      </w:pPr>
    </w:lvl>
    <w:lvl w:ilvl="8" w:tplc="0C09001B" w:tentative="1">
      <w:start w:val="1"/>
      <w:numFmt w:val="lowerRoman"/>
      <w:lvlText w:val="%9."/>
      <w:lvlJc w:val="right"/>
      <w:pPr>
        <w:tabs>
          <w:tab w:val="num" w:pos="6930"/>
        </w:tabs>
        <w:ind w:left="6930" w:hanging="180"/>
      </w:pPr>
    </w:lvl>
  </w:abstractNum>
  <w:abstractNum w:abstractNumId="21" w15:restartNumberingAfterBreak="0">
    <w:nsid w:val="6986109A"/>
    <w:multiLevelType w:val="hybridMultilevel"/>
    <w:tmpl w:val="4AB445CE"/>
    <w:lvl w:ilvl="0" w:tplc="BA06F38C">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6E0C101E"/>
    <w:multiLevelType w:val="hybridMultilevel"/>
    <w:tmpl w:val="E288F94E"/>
    <w:lvl w:ilvl="0" w:tplc="93A236CC">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4903B0"/>
    <w:multiLevelType w:val="hybridMultilevel"/>
    <w:tmpl w:val="21807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F611951"/>
    <w:multiLevelType w:val="hybridMultilevel"/>
    <w:tmpl w:val="F41094EA"/>
    <w:lvl w:ilvl="0" w:tplc="AB96417E">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72B960F7"/>
    <w:multiLevelType w:val="hybridMultilevel"/>
    <w:tmpl w:val="20A600D6"/>
    <w:lvl w:ilvl="0" w:tplc="304E6AD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38D2CCA"/>
    <w:multiLevelType w:val="hybridMultilevel"/>
    <w:tmpl w:val="12D4BBAC"/>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15:restartNumberingAfterBreak="0">
    <w:nsid w:val="773B59EE"/>
    <w:multiLevelType w:val="hybridMultilevel"/>
    <w:tmpl w:val="A12A6286"/>
    <w:lvl w:ilvl="0" w:tplc="B79EABC2">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7FEF5A6D"/>
    <w:multiLevelType w:val="hybridMultilevel"/>
    <w:tmpl w:val="892A7ED8"/>
    <w:lvl w:ilvl="0" w:tplc="4682590E">
      <w:start w:val="1"/>
      <w:numFmt w:val="bullet"/>
      <w:lvlText w:val="-"/>
      <w:lvlJc w:val="left"/>
      <w:pPr>
        <w:tabs>
          <w:tab w:val="num" w:pos="720"/>
        </w:tabs>
        <w:ind w:left="720" w:hanging="360"/>
      </w:pPr>
      <w:rPr>
        <w:rFonts w:ascii="Arial" w:eastAsia="Times" w:hAnsi="Arial" w:cs="Times New Roman" w:hint="default"/>
      </w:rPr>
    </w:lvl>
    <w:lvl w:ilvl="1" w:tplc="04090019">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98525152">
    <w:abstractNumId w:val="20"/>
  </w:num>
  <w:num w:numId="2" w16cid:durableId="250742827">
    <w:abstractNumId w:val="1"/>
  </w:num>
  <w:num w:numId="3" w16cid:durableId="1940092726">
    <w:abstractNumId w:val="22"/>
  </w:num>
  <w:num w:numId="4" w16cid:durableId="1963882777">
    <w:abstractNumId w:val="15"/>
  </w:num>
  <w:num w:numId="5" w16cid:durableId="1670980334">
    <w:abstractNumId w:val="0"/>
  </w:num>
  <w:num w:numId="6" w16cid:durableId="342826021">
    <w:abstractNumId w:val="7"/>
  </w:num>
  <w:num w:numId="7" w16cid:durableId="1124664451">
    <w:abstractNumId w:val="25"/>
  </w:num>
  <w:num w:numId="8" w16cid:durableId="1333920091">
    <w:abstractNumId w:val="8"/>
  </w:num>
  <w:num w:numId="9" w16cid:durableId="1214775766">
    <w:abstractNumId w:val="4"/>
  </w:num>
  <w:num w:numId="10" w16cid:durableId="756903099">
    <w:abstractNumId w:val="28"/>
  </w:num>
  <w:num w:numId="11" w16cid:durableId="366176529">
    <w:abstractNumId w:val="17"/>
  </w:num>
  <w:num w:numId="12" w16cid:durableId="388187433">
    <w:abstractNumId w:val="5"/>
  </w:num>
  <w:num w:numId="13" w16cid:durableId="909997607">
    <w:abstractNumId w:val="26"/>
  </w:num>
  <w:num w:numId="14" w16cid:durableId="446504048">
    <w:abstractNumId w:val="13"/>
  </w:num>
  <w:num w:numId="15" w16cid:durableId="563875506">
    <w:abstractNumId w:val="3"/>
  </w:num>
  <w:num w:numId="16" w16cid:durableId="425734282">
    <w:abstractNumId w:val="2"/>
  </w:num>
  <w:num w:numId="17" w16cid:durableId="1872575078">
    <w:abstractNumId w:val="11"/>
  </w:num>
  <w:num w:numId="18" w16cid:durableId="1826312209">
    <w:abstractNumId w:val="18"/>
  </w:num>
  <w:num w:numId="19" w16cid:durableId="1315136990">
    <w:abstractNumId w:val="27"/>
  </w:num>
  <w:num w:numId="20" w16cid:durableId="30033160">
    <w:abstractNumId w:val="24"/>
  </w:num>
  <w:num w:numId="21" w16cid:durableId="2068333158">
    <w:abstractNumId w:val="12"/>
  </w:num>
  <w:num w:numId="22" w16cid:durableId="1183325571">
    <w:abstractNumId w:val="21"/>
  </w:num>
  <w:num w:numId="23" w16cid:durableId="1218858379">
    <w:abstractNumId w:val="14"/>
  </w:num>
  <w:num w:numId="24" w16cid:durableId="1473715802">
    <w:abstractNumId w:val="6"/>
  </w:num>
  <w:num w:numId="25" w16cid:durableId="411320825">
    <w:abstractNumId w:val="19"/>
  </w:num>
  <w:num w:numId="26" w16cid:durableId="1382287136">
    <w:abstractNumId w:val="23"/>
  </w:num>
  <w:num w:numId="27" w16cid:durableId="1590776123">
    <w:abstractNumId w:val="16"/>
  </w:num>
  <w:num w:numId="28" w16cid:durableId="1160388460">
    <w:abstractNumId w:val="9"/>
  </w:num>
  <w:num w:numId="29" w16cid:durableId="13818276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fill="f" fillcolor="window" stroke="f">
      <v:fill color="window"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AB5"/>
    <w:rsid w:val="00016AF4"/>
    <w:rsid w:val="0001745C"/>
    <w:rsid w:val="00050643"/>
    <w:rsid w:val="000540B8"/>
    <w:rsid w:val="00057641"/>
    <w:rsid w:val="000715E4"/>
    <w:rsid w:val="000956E2"/>
    <w:rsid w:val="000A788B"/>
    <w:rsid w:val="000B0E00"/>
    <w:rsid w:val="000E1DFC"/>
    <w:rsid w:val="00107176"/>
    <w:rsid w:val="00127761"/>
    <w:rsid w:val="00131A43"/>
    <w:rsid w:val="00147F73"/>
    <w:rsid w:val="001623FF"/>
    <w:rsid w:val="00171BAD"/>
    <w:rsid w:val="00172C5E"/>
    <w:rsid w:val="0017529E"/>
    <w:rsid w:val="001A0A3D"/>
    <w:rsid w:val="001C0A72"/>
    <w:rsid w:val="001C5509"/>
    <w:rsid w:val="001E4F77"/>
    <w:rsid w:val="00220987"/>
    <w:rsid w:val="002404CF"/>
    <w:rsid w:val="00252025"/>
    <w:rsid w:val="00253AF2"/>
    <w:rsid w:val="0026686B"/>
    <w:rsid w:val="00281BA2"/>
    <w:rsid w:val="002843E2"/>
    <w:rsid w:val="002E6E6A"/>
    <w:rsid w:val="002F18BE"/>
    <w:rsid w:val="002F26CE"/>
    <w:rsid w:val="003349F0"/>
    <w:rsid w:val="00335CF9"/>
    <w:rsid w:val="00344096"/>
    <w:rsid w:val="003470F9"/>
    <w:rsid w:val="00363CB3"/>
    <w:rsid w:val="00373DEB"/>
    <w:rsid w:val="00392145"/>
    <w:rsid w:val="003954F2"/>
    <w:rsid w:val="003B009D"/>
    <w:rsid w:val="003C6CCD"/>
    <w:rsid w:val="003E12C5"/>
    <w:rsid w:val="00404DE0"/>
    <w:rsid w:val="0042194A"/>
    <w:rsid w:val="004316E4"/>
    <w:rsid w:val="00433D23"/>
    <w:rsid w:val="00453BA6"/>
    <w:rsid w:val="0046408E"/>
    <w:rsid w:val="004644E6"/>
    <w:rsid w:val="004855A8"/>
    <w:rsid w:val="00493535"/>
    <w:rsid w:val="004A5BB0"/>
    <w:rsid w:val="004D4493"/>
    <w:rsid w:val="00501672"/>
    <w:rsid w:val="00511C40"/>
    <w:rsid w:val="00581260"/>
    <w:rsid w:val="005A76CD"/>
    <w:rsid w:val="005B11FD"/>
    <w:rsid w:val="005B1873"/>
    <w:rsid w:val="005B68B3"/>
    <w:rsid w:val="005E46A7"/>
    <w:rsid w:val="005E6472"/>
    <w:rsid w:val="005F1FB3"/>
    <w:rsid w:val="005F42D2"/>
    <w:rsid w:val="0061005E"/>
    <w:rsid w:val="00635F5B"/>
    <w:rsid w:val="006679F2"/>
    <w:rsid w:val="00672882"/>
    <w:rsid w:val="00677AB5"/>
    <w:rsid w:val="006B5D9C"/>
    <w:rsid w:val="00703261"/>
    <w:rsid w:val="007064C8"/>
    <w:rsid w:val="00732C30"/>
    <w:rsid w:val="007714D2"/>
    <w:rsid w:val="00773C94"/>
    <w:rsid w:val="0078468D"/>
    <w:rsid w:val="00784892"/>
    <w:rsid w:val="007E3798"/>
    <w:rsid w:val="007F562E"/>
    <w:rsid w:val="00817000"/>
    <w:rsid w:val="00832BBC"/>
    <w:rsid w:val="008437CC"/>
    <w:rsid w:val="008767FD"/>
    <w:rsid w:val="00876B7D"/>
    <w:rsid w:val="008772D7"/>
    <w:rsid w:val="008E45BD"/>
    <w:rsid w:val="00922C96"/>
    <w:rsid w:val="009363CD"/>
    <w:rsid w:val="00967DA0"/>
    <w:rsid w:val="00983633"/>
    <w:rsid w:val="009A3C90"/>
    <w:rsid w:val="009A4565"/>
    <w:rsid w:val="009B629D"/>
    <w:rsid w:val="009C0B55"/>
    <w:rsid w:val="009C502B"/>
    <w:rsid w:val="009E02C8"/>
    <w:rsid w:val="009F4191"/>
    <w:rsid w:val="00A03E20"/>
    <w:rsid w:val="00A10BFA"/>
    <w:rsid w:val="00A22837"/>
    <w:rsid w:val="00A25629"/>
    <w:rsid w:val="00A322DD"/>
    <w:rsid w:val="00A703B9"/>
    <w:rsid w:val="00A72B8F"/>
    <w:rsid w:val="00A86CE4"/>
    <w:rsid w:val="00A93E5C"/>
    <w:rsid w:val="00AA59A1"/>
    <w:rsid w:val="00AC0B4E"/>
    <w:rsid w:val="00AC257E"/>
    <w:rsid w:val="00AD493D"/>
    <w:rsid w:val="00AE23D9"/>
    <w:rsid w:val="00AF6D81"/>
    <w:rsid w:val="00B10C25"/>
    <w:rsid w:val="00B36AEB"/>
    <w:rsid w:val="00B46D82"/>
    <w:rsid w:val="00B6363E"/>
    <w:rsid w:val="00B905B1"/>
    <w:rsid w:val="00BB41D8"/>
    <w:rsid w:val="00BB6B80"/>
    <w:rsid w:val="00BF0E95"/>
    <w:rsid w:val="00C53CAE"/>
    <w:rsid w:val="00CB1EC2"/>
    <w:rsid w:val="00CC39A5"/>
    <w:rsid w:val="00CF0FE4"/>
    <w:rsid w:val="00D105C6"/>
    <w:rsid w:val="00D2174B"/>
    <w:rsid w:val="00D22F48"/>
    <w:rsid w:val="00D42D11"/>
    <w:rsid w:val="00D50137"/>
    <w:rsid w:val="00D928DA"/>
    <w:rsid w:val="00DC5AC2"/>
    <w:rsid w:val="00DC7E2E"/>
    <w:rsid w:val="00DE7BF7"/>
    <w:rsid w:val="00DF4AC8"/>
    <w:rsid w:val="00E001D8"/>
    <w:rsid w:val="00E32F2F"/>
    <w:rsid w:val="00E37811"/>
    <w:rsid w:val="00E718BD"/>
    <w:rsid w:val="00E77C2A"/>
    <w:rsid w:val="00E92226"/>
    <w:rsid w:val="00EA0F64"/>
    <w:rsid w:val="00EC08D6"/>
    <w:rsid w:val="00F33F09"/>
    <w:rsid w:val="00F36985"/>
    <w:rsid w:val="00F520F1"/>
    <w:rsid w:val="00F52787"/>
    <w:rsid w:val="00F52FF4"/>
    <w:rsid w:val="00F56650"/>
    <w:rsid w:val="00F736E5"/>
    <w:rsid w:val="00FB138A"/>
    <w:rsid w:val="00FC1E26"/>
    <w:rsid w:val="00FD03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City"/>
  <w:smartTagType w:namespaceuri="urn:schemas-microsoft-com:office:smarttags" w:name="Street"/>
  <w:shapeDefaults>
    <o:shapedefaults v:ext="edit" spidmax="2050" fill="f" fillcolor="window" stroke="f">
      <v:fill color="window" on="f"/>
      <v:stroke on="f"/>
    </o:shapedefaults>
    <o:shapelayout v:ext="edit">
      <o:idmap v:ext="edit" data="2"/>
    </o:shapelayout>
  </w:shapeDefaults>
  <w:decimalSymbol w:val="."/>
  <w:listSeparator w:val=","/>
  <w14:docId w14:val="6047CF49"/>
  <w15:docId w15:val="{80B054C0-0508-48EC-ACA4-BF5DD97F7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rFonts w:ascii="Trebuchet MS" w:hAnsi="Trebuchet MS"/>
      <w:b/>
      <w:spacing w:val="34"/>
    </w:rPr>
  </w:style>
  <w:style w:type="paragraph" w:styleId="Heading2">
    <w:name w:val="heading 2"/>
    <w:basedOn w:val="Normal"/>
    <w:next w:val="Normal"/>
    <w:qFormat/>
    <w:pPr>
      <w:keepNext/>
      <w:jc w:val="right"/>
      <w:outlineLvl w:val="1"/>
    </w:pPr>
    <w:rPr>
      <w:rFonts w:ascii="Trebuchet MS" w:hAnsi="Trebuchet MS"/>
      <w:b/>
      <w:i/>
      <w:spacing w:val="-60"/>
      <w:sz w:val="56"/>
    </w:rPr>
  </w:style>
  <w:style w:type="paragraph" w:styleId="Heading3">
    <w:name w:val="heading 3"/>
    <w:basedOn w:val="Normal"/>
    <w:next w:val="Normal"/>
    <w:qFormat/>
    <w:pPr>
      <w:keepNext/>
      <w:outlineLvl w:val="2"/>
    </w:pPr>
    <w:rPr>
      <w:rFonts w:ascii="Trebuchet MS" w:hAnsi="Trebuchet MS"/>
      <w:b/>
      <w:spacing w:val="70"/>
      <w:sz w:val="19"/>
    </w:rPr>
  </w:style>
  <w:style w:type="paragraph" w:styleId="Heading4">
    <w:name w:val="heading 4"/>
    <w:basedOn w:val="Normal"/>
    <w:next w:val="Normal"/>
    <w:qFormat/>
    <w:rsid w:val="000A788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0A788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right"/>
    </w:pPr>
    <w:rPr>
      <w:rFonts w:ascii="Trebuchet MS" w:hAnsi="Trebuchet MS"/>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2">
    <w:name w:val="Body Text 2"/>
    <w:basedOn w:val="Normal"/>
    <w:rsid w:val="00CF0FE4"/>
    <w:pPr>
      <w:spacing w:after="120"/>
    </w:pPr>
    <w:rPr>
      <w:rFonts w:ascii="Arial" w:hAnsi="Arial"/>
      <w:sz w:val="22"/>
    </w:rPr>
  </w:style>
  <w:style w:type="paragraph" w:styleId="BalloonText">
    <w:name w:val="Balloon Text"/>
    <w:basedOn w:val="Normal"/>
    <w:semiHidden/>
    <w:rsid w:val="00C53CAE"/>
    <w:rPr>
      <w:rFonts w:ascii="Tahoma" w:hAnsi="Tahoma" w:cs="Tahoma"/>
      <w:sz w:val="16"/>
      <w:szCs w:val="16"/>
    </w:rPr>
  </w:style>
  <w:style w:type="table" w:styleId="TableGrid">
    <w:name w:val="Table Grid"/>
    <w:basedOn w:val="TableNormal"/>
    <w:rsid w:val="004644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0E1DFC"/>
    <w:pPr>
      <w:spacing w:after="120"/>
      <w:ind w:left="283"/>
    </w:pPr>
  </w:style>
  <w:style w:type="paragraph" w:customStyle="1" w:styleId="DefaultText">
    <w:name w:val="Default Text"/>
    <w:basedOn w:val="Normal"/>
    <w:rsid w:val="000A788B"/>
    <w:pPr>
      <w:spacing w:before="100" w:after="100"/>
      <w:jc w:val="both"/>
    </w:pPr>
    <w:rPr>
      <w:rFonts w:ascii="Times New Roman" w:eastAsia="Times New Roman" w:hAnsi="Times New Roman"/>
      <w:lang w:val="en-GB" w:eastAsia="en-US"/>
    </w:rPr>
  </w:style>
  <w:style w:type="paragraph" w:styleId="ListBullet">
    <w:name w:val="List Bullet"/>
    <w:basedOn w:val="Normal"/>
    <w:autoRedefine/>
    <w:rsid w:val="000A788B"/>
    <w:pPr>
      <w:numPr>
        <w:numId w:val="4"/>
      </w:numPr>
    </w:pPr>
    <w:rPr>
      <w:rFonts w:ascii="Times New Roman" w:eastAsia="Times New Roman" w:hAnsi="Times New Roman"/>
      <w:sz w:val="20"/>
      <w:lang w:val="en-US" w:eastAsia="en-US"/>
    </w:rPr>
  </w:style>
  <w:style w:type="paragraph" w:customStyle="1" w:styleId="Dash">
    <w:name w:val="Dash"/>
    <w:basedOn w:val="Normal"/>
    <w:rsid w:val="007714D2"/>
    <w:pPr>
      <w:numPr>
        <w:numId w:val="12"/>
      </w:numPr>
      <w:suppressAutoHyphens/>
      <w:spacing w:before="140" w:line="280" w:lineRule="atLeast"/>
      <w:ind w:left="1418"/>
      <w:jc w:val="both"/>
    </w:pPr>
    <w:rPr>
      <w:rFonts w:ascii="Times New Roman" w:eastAsia="Times New Roman" w:hAnsi="Times New Roman"/>
      <w:sz w:val="22"/>
    </w:rPr>
  </w:style>
  <w:style w:type="paragraph" w:customStyle="1" w:styleId="Bullet">
    <w:name w:val="Bullet"/>
    <w:basedOn w:val="Normal"/>
    <w:rsid w:val="007714D2"/>
    <w:pPr>
      <w:numPr>
        <w:numId w:val="11"/>
      </w:numPr>
      <w:tabs>
        <w:tab w:val="left" w:pos="284"/>
      </w:tabs>
      <w:suppressAutoHyphens/>
      <w:spacing w:before="140" w:line="280" w:lineRule="atLeast"/>
      <w:jc w:val="both"/>
    </w:pPr>
    <w:rPr>
      <w:rFonts w:ascii="Times New Roman" w:eastAsia="Times New Roman" w:hAnsi="Times New Roman"/>
      <w:sz w:val="22"/>
    </w:rPr>
  </w:style>
  <w:style w:type="paragraph" w:styleId="ListParagraph">
    <w:name w:val="List Paragraph"/>
    <w:basedOn w:val="Normal"/>
    <w:uiPriority w:val="1"/>
    <w:qFormat/>
    <w:rsid w:val="00FC1E26"/>
    <w:pPr>
      <w:ind w:left="720"/>
      <w:contextualSpacing/>
    </w:pPr>
  </w:style>
  <w:style w:type="character" w:styleId="CommentReference">
    <w:name w:val="annotation reference"/>
    <w:basedOn w:val="DefaultParagraphFont"/>
    <w:uiPriority w:val="99"/>
    <w:semiHidden/>
    <w:unhideWhenUsed/>
    <w:rsid w:val="00672882"/>
    <w:rPr>
      <w:sz w:val="16"/>
      <w:szCs w:val="16"/>
    </w:rPr>
  </w:style>
  <w:style w:type="paragraph" w:styleId="CommentText">
    <w:name w:val="annotation text"/>
    <w:basedOn w:val="Normal"/>
    <w:link w:val="CommentTextChar"/>
    <w:uiPriority w:val="99"/>
    <w:unhideWhenUsed/>
    <w:rsid w:val="00672882"/>
    <w:rPr>
      <w:sz w:val="20"/>
    </w:rPr>
  </w:style>
  <w:style w:type="character" w:customStyle="1" w:styleId="CommentTextChar">
    <w:name w:val="Comment Text Char"/>
    <w:basedOn w:val="DefaultParagraphFont"/>
    <w:link w:val="CommentText"/>
    <w:uiPriority w:val="99"/>
    <w:rsid w:val="00672882"/>
  </w:style>
  <w:style w:type="paragraph" w:styleId="CommentSubject">
    <w:name w:val="annotation subject"/>
    <w:basedOn w:val="CommentText"/>
    <w:next w:val="CommentText"/>
    <w:link w:val="CommentSubjectChar"/>
    <w:uiPriority w:val="99"/>
    <w:semiHidden/>
    <w:unhideWhenUsed/>
    <w:rsid w:val="00672882"/>
    <w:rPr>
      <w:b/>
      <w:bCs/>
    </w:rPr>
  </w:style>
  <w:style w:type="character" w:customStyle="1" w:styleId="CommentSubjectChar">
    <w:name w:val="Comment Subject Char"/>
    <w:basedOn w:val="CommentTextChar"/>
    <w:link w:val="CommentSubject"/>
    <w:uiPriority w:val="99"/>
    <w:semiHidden/>
    <w:rsid w:val="00672882"/>
    <w:rPr>
      <w:b/>
      <w:bCs/>
    </w:rPr>
  </w:style>
  <w:style w:type="paragraph" w:customStyle="1" w:styleId="TableHead">
    <w:name w:val="Table Head"/>
    <w:basedOn w:val="Normal"/>
    <w:rsid w:val="00983633"/>
    <w:rPr>
      <w:rFonts w:ascii="Arial" w:eastAsia="Times New Roman" w:hAnsi="Arial"/>
      <w:b/>
      <w:sz w:val="22"/>
      <w:lang w:eastAsia="en-US"/>
    </w:rPr>
  </w:style>
  <w:style w:type="paragraph" w:customStyle="1" w:styleId="TableText">
    <w:name w:val="Table Text"/>
    <w:basedOn w:val="Normal"/>
    <w:qFormat/>
    <w:rsid w:val="00983633"/>
    <w:pPr>
      <w:tabs>
        <w:tab w:val="left" w:pos="601"/>
      </w:tabs>
      <w:spacing w:before="60" w:after="60"/>
    </w:pPr>
    <w:rPr>
      <w:rFonts w:ascii="Arial" w:eastAsia="Times New Roman" w:hAnsi="Arial"/>
      <w:sz w:val="20"/>
      <w:lang w:eastAsia="en-US"/>
    </w:rPr>
  </w:style>
  <w:style w:type="paragraph" w:customStyle="1" w:styleId="TableParagraph">
    <w:name w:val="Table Paragraph"/>
    <w:basedOn w:val="Normal"/>
    <w:uiPriority w:val="1"/>
    <w:qFormat/>
    <w:rsid w:val="008772D7"/>
    <w:pPr>
      <w:widowControl w:val="0"/>
      <w:autoSpaceDE w:val="0"/>
      <w:autoSpaceDN w:val="0"/>
      <w:spacing w:before="61"/>
      <w:ind w:left="110"/>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323152">
      <w:bodyDiv w:val="1"/>
      <w:marLeft w:val="0"/>
      <w:marRight w:val="0"/>
      <w:marTop w:val="0"/>
      <w:marBottom w:val="0"/>
      <w:divBdr>
        <w:top w:val="none" w:sz="0" w:space="0" w:color="auto"/>
        <w:left w:val="none" w:sz="0" w:space="0" w:color="auto"/>
        <w:bottom w:val="none" w:sz="0" w:space="0" w:color="auto"/>
        <w:right w:val="none" w:sz="0" w:space="0" w:color="auto"/>
      </w:divBdr>
      <w:divsChild>
        <w:div w:id="831674796">
          <w:marLeft w:val="0"/>
          <w:marRight w:val="0"/>
          <w:marTop w:val="0"/>
          <w:marBottom w:val="0"/>
          <w:divBdr>
            <w:top w:val="none" w:sz="0" w:space="0" w:color="auto"/>
            <w:left w:val="none" w:sz="0" w:space="0" w:color="auto"/>
            <w:bottom w:val="none" w:sz="0" w:space="0" w:color="auto"/>
            <w:right w:val="none" w:sz="0" w:space="0" w:color="auto"/>
          </w:divBdr>
        </w:div>
        <w:div w:id="1305623283">
          <w:marLeft w:val="0"/>
          <w:marRight w:val="0"/>
          <w:marTop w:val="0"/>
          <w:marBottom w:val="0"/>
          <w:divBdr>
            <w:top w:val="none" w:sz="0" w:space="0" w:color="auto"/>
            <w:left w:val="none" w:sz="0" w:space="0" w:color="auto"/>
            <w:bottom w:val="none" w:sz="0" w:space="0" w:color="auto"/>
            <w:right w:val="none" w:sz="0" w:space="0" w:color="auto"/>
          </w:divBdr>
        </w:div>
      </w:divsChild>
    </w:div>
    <w:div w:id="965158138">
      <w:bodyDiv w:val="1"/>
      <w:marLeft w:val="0"/>
      <w:marRight w:val="0"/>
      <w:marTop w:val="0"/>
      <w:marBottom w:val="0"/>
      <w:divBdr>
        <w:top w:val="none" w:sz="0" w:space="0" w:color="auto"/>
        <w:left w:val="none" w:sz="0" w:space="0" w:color="auto"/>
        <w:bottom w:val="none" w:sz="0" w:space="0" w:color="auto"/>
        <w:right w:val="none" w:sz="0" w:space="0" w:color="auto"/>
      </w:divBdr>
    </w:div>
    <w:div w:id="991258557">
      <w:bodyDiv w:val="1"/>
      <w:marLeft w:val="0"/>
      <w:marRight w:val="0"/>
      <w:marTop w:val="0"/>
      <w:marBottom w:val="0"/>
      <w:divBdr>
        <w:top w:val="none" w:sz="0" w:space="0" w:color="auto"/>
        <w:left w:val="none" w:sz="0" w:space="0" w:color="auto"/>
        <w:bottom w:val="none" w:sz="0" w:space="0" w:color="auto"/>
        <w:right w:val="none" w:sz="0" w:space="0" w:color="auto"/>
      </w:divBdr>
    </w:div>
    <w:div w:id="1141383252">
      <w:bodyDiv w:val="1"/>
      <w:marLeft w:val="0"/>
      <w:marRight w:val="0"/>
      <w:marTop w:val="0"/>
      <w:marBottom w:val="0"/>
      <w:divBdr>
        <w:top w:val="none" w:sz="0" w:space="0" w:color="auto"/>
        <w:left w:val="none" w:sz="0" w:space="0" w:color="auto"/>
        <w:bottom w:val="none" w:sz="0" w:space="0" w:color="auto"/>
        <w:right w:val="none" w:sz="0" w:space="0" w:color="auto"/>
      </w:divBdr>
    </w:div>
    <w:div w:id="1346204812">
      <w:bodyDiv w:val="1"/>
      <w:marLeft w:val="0"/>
      <w:marRight w:val="0"/>
      <w:marTop w:val="0"/>
      <w:marBottom w:val="0"/>
      <w:divBdr>
        <w:top w:val="none" w:sz="0" w:space="0" w:color="auto"/>
        <w:left w:val="none" w:sz="0" w:space="0" w:color="auto"/>
        <w:bottom w:val="none" w:sz="0" w:space="0" w:color="auto"/>
        <w:right w:val="none" w:sz="0" w:space="0" w:color="auto"/>
      </w:divBdr>
    </w:div>
    <w:div w:id="2099710784">
      <w:bodyDiv w:val="1"/>
      <w:marLeft w:val="0"/>
      <w:marRight w:val="0"/>
      <w:marTop w:val="0"/>
      <w:marBottom w:val="0"/>
      <w:divBdr>
        <w:top w:val="none" w:sz="0" w:space="0" w:color="auto"/>
        <w:left w:val="none" w:sz="0" w:space="0" w:color="auto"/>
        <w:bottom w:val="none" w:sz="0" w:space="0" w:color="auto"/>
        <w:right w:val="none" w:sz="0" w:space="0" w:color="auto"/>
      </w:divBdr>
    </w:div>
    <w:div w:id="213359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2.xml" Id="R5b1018d42633417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5706740DD7F21495E05400144FFB1A69" version="1.0.0">
  <systemFields>
    <field name="Objective-Id">
      <value order="0">A14051627</value>
    </field>
    <field name="Objective-Title">
      <value order="0">PTA250023 Addendum 4</value>
    </field>
    <field name="Objective-Description">
      <value order="0"/>
    </field>
    <field name="Objective-CreationStamp">
      <value order="0">2025-04-15T06:48:07Z</value>
    </field>
    <field name="Objective-IsApproved">
      <value order="0">false</value>
    </field>
    <field name="Objective-IsPublished">
      <value order="0">true</value>
    </field>
    <field name="Objective-DatePublished">
      <value order="0">2025-04-22T07:34:24Z</value>
    </field>
    <field name="Objective-ModificationStamp">
      <value order="0">2025-04-22T07:34:31Z</value>
    </field>
    <field name="Objective-Owner">
      <value order="0">Tierney, Lisa</value>
    </field>
    <field name="Objective-Path">
      <value order="0">Objective Global Folder:01. PTA Folder Structure:Corporate Procurement:2025:Tenders and Contracts - Endorsed:250023 - Tender - Design and Construction of Transperth New Electric Passenger Vessels:04 Tender Open:04.03 Addendum</value>
    </field>
    <field name="Objective-Parent">
      <value order="0">04.03 Addendum</value>
    </field>
    <field name="Objective-State">
      <value order="0">Published</value>
    </field>
    <field name="Objective-VersionId">
      <value order="0">vA18732247</value>
    </field>
    <field name="Objective-Version">
      <value order="0">3.0</value>
    </field>
    <field name="Objective-VersionNumber">
      <value order="0">5</value>
    </field>
    <field name="Objective-VersionComment">
      <value order="0"/>
    </field>
    <field name="Objective-FileNumber">
      <value order="0">PTA01157/25</value>
    </field>
    <field name="Objective-Classification">
      <value order="0"/>
    </field>
    <field name="Objective-Caveats">
      <value order="0"/>
    </field>
  </systemFields>
  <catalogues>
    <catalogue name="Electronic Record Type Catalogue" type="type" ori="id:cA101">
      <field name="Objective-Division/Branch">
        <value order="0">F&amp;C - FINANCE &amp; CONTRACTS : F&amp;C Procurement</value>
      </field>
      <field name="Objective-Organisation">
        <value order="0">Public Transport Authority</value>
      </field>
      <field name="Objective-Additional Information">
        <value order="0"/>
      </field>
      <field name="Objective-Security Confirmation">
        <value order="0">By pressing OK, you acknowledge this document is being saved in an appropriately secured location.</value>
      </field>
      <field name="Objective-Connect Creator">
        <value order="0"/>
      </field>
      <field name="Objective-Scan Batch ID">
        <value order="0"/>
      </field>
      <field name="Objective-Source Record State">
        <value order="0"/>
      </field>
      <field name="Objective-Integration ID">
        <value order="0"/>
      </field>
      <field name="Objective-Published to Transnet Date">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5706740DD7F21495E05400144FFB1A69"/>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4</Pages>
  <Words>933</Words>
  <Characters>5321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WA Dept of Training and Employment</Company>
  <LinksUpToDate>false</LinksUpToDate>
  <CharactersWithSpaces>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Olliver Stow</dc:creator>
  <cp:lastModifiedBy>Tierney, Lisa</cp:lastModifiedBy>
  <cp:revision>7</cp:revision>
  <cp:lastPrinted>2025-04-16T06:25:00Z</cp:lastPrinted>
  <dcterms:created xsi:type="dcterms:W3CDTF">2025-04-15T02:13:00Z</dcterms:created>
  <dcterms:modified xsi:type="dcterms:W3CDTF">2025-04-22T07:34:00Z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A14051627</vt:lpwstr>
  </property>
  <property fmtid="{D5CDD505-2E9C-101B-9397-08002B2CF9AE}" pid="3" name="Objective-Title">
    <vt:lpwstr>PTA250023 Addendum 4</vt:lpwstr>
  </property>
  <property fmtid="{D5CDD505-2E9C-101B-9397-08002B2CF9AE}" pid="4" name="Objective-Comment">
    <vt:lpwstr/>
  </property>
  <property fmtid="{D5CDD505-2E9C-101B-9397-08002B2CF9AE}" pid="5" name="Objective-CreationStamp">
    <vt:filetime>2025-04-15T07:10:03Z</vt:filetime>
  </property>
  <property fmtid="{D5CDD505-2E9C-101B-9397-08002B2CF9AE}" pid="6" name="Objective-IsApproved">
    <vt:bool>false</vt:bool>
  </property>
  <property fmtid="{D5CDD505-2E9C-101B-9397-08002B2CF9AE}" pid="7" name="Objective-IsPublished">
    <vt:bool>true</vt:bool>
  </property>
  <property fmtid="{D5CDD505-2E9C-101B-9397-08002B2CF9AE}" pid="8" name="Objective-DatePublished">
    <vt:filetime>2025-04-22T07:34:24Z</vt:filetime>
  </property>
  <property fmtid="{D5CDD505-2E9C-101B-9397-08002B2CF9AE}" pid="9" name="Objective-ModificationStamp">
    <vt:filetime>2025-04-22T07:34:31Z</vt:filetime>
  </property>
  <property fmtid="{D5CDD505-2E9C-101B-9397-08002B2CF9AE}" pid="10" name="Objective-Owner">
    <vt:lpwstr>Tierney, Lisa</vt:lpwstr>
  </property>
  <property fmtid="{D5CDD505-2E9C-101B-9397-08002B2CF9AE}" pid="11" name="Objective-Path">
    <vt:lpwstr>Objective Global Folder:01. PTA Folder Structure:Corporate Procurement:2025:Tenders and Contracts - Endorsed:250023 - Tender - Design and Construction of Transperth New Electric Passenger Vessels:04 Tender Open:04.03 Addendum:</vt:lpwstr>
  </property>
  <property fmtid="{D5CDD505-2E9C-101B-9397-08002B2CF9AE}" pid="12" name="Objective-Parent">
    <vt:lpwstr>04.03 Addendum</vt:lpwstr>
  </property>
  <property fmtid="{D5CDD505-2E9C-101B-9397-08002B2CF9AE}" pid="13" name="Objective-State">
    <vt:lpwstr>Published</vt:lpwstr>
  </property>
  <property fmtid="{D5CDD505-2E9C-101B-9397-08002B2CF9AE}" pid="14" name="Objective-Version">
    <vt:lpwstr>3.0</vt:lpwstr>
  </property>
  <property fmtid="{D5CDD505-2E9C-101B-9397-08002B2CF9AE}" pid="15" name="Objective-VersionNumber">
    <vt:r8>5</vt:r8>
  </property>
  <property fmtid="{D5CDD505-2E9C-101B-9397-08002B2CF9AE}" pid="16" name="Objective-VersionComment">
    <vt:lpwstr/>
  </property>
  <property fmtid="{D5CDD505-2E9C-101B-9397-08002B2CF9AE}" pid="17" name="Objective-FileNumber">
    <vt:lpwstr>PTA01157/25</vt:lpwstr>
  </property>
  <property fmtid="{D5CDD505-2E9C-101B-9397-08002B2CF9AE}" pid="18" name="Objective-Classification">
    <vt:lpwstr>[Inherited - none]</vt:lpwstr>
  </property>
  <property fmtid="{D5CDD505-2E9C-101B-9397-08002B2CF9AE}" pid="19" name="Objective-Caveats">
    <vt:lpwstr/>
  </property>
  <property fmtid="{D5CDD505-2E9C-101B-9397-08002B2CF9AE}" pid="20" name="Objective-Internal Document Type [system]">
    <vt:lpwstr>Form / Template</vt:lpwstr>
  </property>
  <property fmtid="{D5CDD505-2E9C-101B-9397-08002B2CF9AE}" pid="21" name="Objective-Author (Internal) [system]">
    <vt:lpwstr>Shepherd, Rhys</vt:lpwstr>
  </property>
  <property fmtid="{D5CDD505-2E9C-101B-9397-08002B2CF9AE}" pid="22" name="Objective-Division/Branch [system]">
    <vt:lpwstr>F&amp;C - FINANCE &amp; CONTRACTS - F&amp;C Procurement</vt:lpwstr>
  </property>
  <property fmtid="{D5CDD505-2E9C-101B-9397-08002B2CF9AE}" pid="23" name="Objective-Review Date [system]">
    <vt:lpwstr/>
  </property>
  <property fmtid="{D5CDD505-2E9C-101B-9397-08002B2CF9AE}" pid="24" name="Objective-Transmittal Number [system]">
    <vt:lpwstr/>
  </property>
  <property fmtid="{D5CDD505-2E9C-101B-9397-08002B2CF9AE}" pid="25" name="Objective-Comments [system]">
    <vt:lpwstr/>
  </property>
  <property fmtid="{D5CDD505-2E9C-101B-9397-08002B2CF9AE}" pid="26" name="Objective-Security Classification [system]">
    <vt:lpwstr/>
  </property>
  <property fmtid="{D5CDD505-2E9C-101B-9397-08002B2CF9AE}" pid="27" name="_NewReviewCycle">
    <vt:lpwstr/>
  </property>
  <property fmtid="{D5CDD505-2E9C-101B-9397-08002B2CF9AE}" pid="28" name="Objective-Description">
    <vt:lpwstr/>
  </property>
  <property fmtid="{D5CDD505-2E9C-101B-9397-08002B2CF9AE}" pid="29" name="Objective-VersionId">
    <vt:lpwstr>vA18732247</vt:lpwstr>
  </property>
  <property fmtid="{D5CDD505-2E9C-101B-9397-08002B2CF9AE}" pid="30" name="Objective-Additional Information">
    <vt:lpwstr/>
  </property>
  <property fmtid="{D5CDD505-2E9C-101B-9397-08002B2CF9AE}" pid="31" name="Objective-Division/Branch">
    <vt:lpwstr>F&amp;C - FINANCE &amp; CONTRACTS - F&amp;C Procurement</vt:lpwstr>
  </property>
  <property fmtid="{D5CDD505-2E9C-101B-9397-08002B2CF9AE}" pid="32" name="Objective-Organisation">
    <vt:lpwstr>Public Transport Authority</vt:lpwstr>
  </property>
  <property fmtid="{D5CDD505-2E9C-101B-9397-08002B2CF9AE}" pid="33" name="Objective-Connect Creator">
    <vt:lpwstr/>
  </property>
  <property fmtid="{D5CDD505-2E9C-101B-9397-08002B2CF9AE}" pid="34" name="Objective-Organisation [system]">
    <vt:lpwstr/>
  </property>
  <property fmtid="{D5CDD505-2E9C-101B-9397-08002B2CF9AE}" pid="35" name="Objective-Additional Information [system]">
    <vt:lpwstr>Internal Document </vt:lpwstr>
  </property>
  <property fmtid="{D5CDD505-2E9C-101B-9397-08002B2CF9AE}" pid="36" name="Objective-Connect Creator [system]">
    <vt:lpwstr/>
  </property>
  <property fmtid="{D5CDD505-2E9C-101B-9397-08002B2CF9AE}" pid="37" name="Objective-Security Confirmation [system]">
    <vt:lpwstr/>
  </property>
  <property fmtid="{D5CDD505-2E9C-101B-9397-08002B2CF9AE}" pid="38" name="Objective-Security Confirmation">
    <vt:lpwstr>By pressing OK, you acknowledge this document is being saved in an appropriately secured location.</vt:lpwstr>
  </property>
  <property fmtid="{D5CDD505-2E9C-101B-9397-08002B2CF9AE}" pid="39" name="Objective-Scan Batch ID">
    <vt:lpwstr/>
  </property>
  <property fmtid="{D5CDD505-2E9C-101B-9397-08002B2CF9AE}" pid="40" name="Objective-Source Record State">
    <vt:lpwstr/>
  </property>
  <property fmtid="{D5CDD505-2E9C-101B-9397-08002B2CF9AE}" pid="41" name="Objective-Integration ID">
    <vt:lpwstr/>
  </property>
  <property fmtid="{D5CDD505-2E9C-101B-9397-08002B2CF9AE}" pid="42" name="Objective-Published to Transnet Date">
    <vt:lpwstr/>
  </property>
</Properties>
</file>